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04A6D" w:rsidRDefault="00D57E2D">
      <w:pPr>
        <w:spacing w:after="40"/>
        <w:jc w:val="center"/>
      </w:pPr>
      <w:bookmarkStart w:id="0" w:name="_GoBack"/>
      <w:bookmarkEnd w:id="0"/>
      <w:r>
        <w:rPr>
          <w:b/>
          <w:smallCaps/>
          <w:sz w:val="40"/>
        </w:rPr>
        <w:t>M E M O R A N D U M</w:t>
      </w:r>
    </w:p>
    <w:p w:rsidR="00C04A6D" w:rsidRDefault="00D57E2D">
      <w:pPr>
        <w:keepLines/>
        <w:tabs>
          <w:tab w:val="left" w:pos="1080"/>
        </w:tabs>
        <w:spacing w:before="360" w:after="120"/>
        <w:ind w:left="1080" w:hanging="1079"/>
      </w:pPr>
      <w:r>
        <w:rPr>
          <w:b/>
          <w:smallCaps/>
          <w:sz w:val="24"/>
        </w:rPr>
        <w:t>Date:</w:t>
      </w:r>
      <w:r>
        <w:rPr>
          <w:smallCaps/>
          <w:sz w:val="24"/>
        </w:rPr>
        <w:tab/>
      </w:r>
      <w:r>
        <w:rPr>
          <w:rFonts w:ascii="Times New Roman" w:eastAsia="Times New Roman" w:hAnsi="Times New Roman" w:cs="Times New Roman"/>
          <w:sz w:val="24"/>
        </w:rPr>
        <w:t>August 28, 2014</w:t>
      </w:r>
    </w:p>
    <w:p w:rsidR="00C04A6D" w:rsidRDefault="00D57E2D">
      <w:pPr>
        <w:keepLines/>
        <w:tabs>
          <w:tab w:val="left" w:pos="1080"/>
        </w:tabs>
        <w:spacing w:after="120"/>
        <w:ind w:left="1080" w:hanging="1079"/>
      </w:pPr>
      <w:r>
        <w:rPr>
          <w:b/>
          <w:smallCaps/>
          <w:sz w:val="24"/>
        </w:rPr>
        <w:t>To:</w:t>
      </w:r>
      <w:r>
        <w:rPr>
          <w:sz w:val="24"/>
        </w:rPr>
        <w:tab/>
      </w:r>
      <w:r>
        <w:rPr>
          <w:rFonts w:ascii="Times New Roman" w:eastAsia="Times New Roman" w:hAnsi="Times New Roman" w:cs="Times New Roman"/>
          <w:sz w:val="24"/>
        </w:rPr>
        <w:t>Corey Patterson</w:t>
      </w:r>
    </w:p>
    <w:p w:rsidR="00C04A6D" w:rsidRDefault="00D57E2D">
      <w:pPr>
        <w:keepLines/>
        <w:tabs>
          <w:tab w:val="left" w:pos="1080"/>
        </w:tabs>
        <w:spacing w:after="120"/>
        <w:ind w:left="1080" w:hanging="1079"/>
      </w:pPr>
      <w:r>
        <w:rPr>
          <w:b/>
          <w:smallCaps/>
          <w:sz w:val="24"/>
        </w:rPr>
        <w:t>CC:</w:t>
      </w:r>
      <w:r>
        <w:rPr>
          <w:rFonts w:ascii="Times New Roman" w:eastAsia="Times New Roman" w:hAnsi="Times New Roman" w:cs="Times New Roman"/>
          <w:smallCaps/>
          <w:sz w:val="24"/>
        </w:rPr>
        <w:tab/>
      </w:r>
      <w:r>
        <w:rPr>
          <w:rFonts w:ascii="Times New Roman" w:eastAsia="Times New Roman" w:hAnsi="Times New Roman" w:cs="Times New Roman"/>
          <w:sz w:val="24"/>
        </w:rPr>
        <w:t>Dr. Stephen Johnson</w:t>
      </w:r>
    </w:p>
    <w:p w:rsidR="00C04A6D" w:rsidRDefault="00D57E2D">
      <w:pPr>
        <w:keepLines/>
        <w:tabs>
          <w:tab w:val="left" w:pos="1080"/>
        </w:tabs>
        <w:spacing w:after="120"/>
        <w:ind w:left="1080" w:hanging="1079"/>
      </w:pPr>
      <w:r>
        <w:rPr>
          <w:b/>
          <w:smallCaps/>
          <w:sz w:val="24"/>
        </w:rPr>
        <w:t>From:</w:t>
      </w:r>
      <w:r>
        <w:rPr>
          <w:sz w:val="24"/>
        </w:rPr>
        <w:tab/>
      </w:r>
      <w:r>
        <w:rPr>
          <w:rFonts w:ascii="Times New Roman" w:eastAsia="Times New Roman" w:hAnsi="Times New Roman" w:cs="Times New Roman"/>
          <w:sz w:val="24"/>
        </w:rPr>
        <w:t>Mark McCallon, Associate Dean for Library Services</w:t>
      </w:r>
    </w:p>
    <w:p w:rsidR="00C04A6D" w:rsidRDefault="00D57E2D">
      <w:pPr>
        <w:keepLines/>
        <w:tabs>
          <w:tab w:val="left" w:pos="1080"/>
        </w:tabs>
        <w:spacing w:after="360"/>
        <w:ind w:left="1080" w:hanging="1079"/>
      </w:pPr>
      <w:r>
        <w:rPr>
          <w:b/>
          <w:smallCaps/>
          <w:sz w:val="24"/>
        </w:rPr>
        <w:t>RE:</w:t>
      </w:r>
      <w:r>
        <w:rPr>
          <w:sz w:val="24"/>
        </w:rPr>
        <w:tab/>
      </w:r>
      <w:r>
        <w:rPr>
          <w:rFonts w:ascii="Times New Roman" w:eastAsia="Times New Roman" w:hAnsi="Times New Roman" w:cs="Times New Roman"/>
          <w:sz w:val="24"/>
        </w:rPr>
        <w:t xml:space="preserve">Program Application for </w:t>
      </w:r>
      <w:proofErr w:type="spellStart"/>
      <w:r>
        <w:rPr>
          <w:rFonts w:ascii="Times New Roman" w:eastAsia="Times New Roman" w:hAnsi="Times New Roman" w:cs="Times New Roman"/>
          <w:sz w:val="24"/>
        </w:rPr>
        <w:t>Ed.D</w:t>
      </w:r>
      <w:proofErr w:type="spellEnd"/>
      <w:r>
        <w:rPr>
          <w:rFonts w:ascii="Times New Roman" w:eastAsia="Times New Roman" w:hAnsi="Times New Roman" w:cs="Times New Roman"/>
          <w:sz w:val="24"/>
        </w:rPr>
        <w:t>.</w:t>
      </w:r>
    </w:p>
    <w:p w:rsidR="00C04A6D" w:rsidRDefault="00D57E2D">
      <w:pPr>
        <w:spacing w:after="240"/>
        <w:ind w:firstLine="360"/>
        <w:jc w:val="both"/>
      </w:pPr>
      <w:r>
        <w:rPr>
          <w:rFonts w:ascii="Times New Roman" w:eastAsia="Times New Roman" w:hAnsi="Times New Roman" w:cs="Times New Roman"/>
          <w:sz w:val="24"/>
        </w:rPr>
        <w:t xml:space="preserve">After reviewing the program application, the library is concerned that the ACU Library does not offer sufficient electronic library resources for the </w:t>
      </w:r>
      <w:proofErr w:type="spellStart"/>
      <w:r>
        <w:rPr>
          <w:rFonts w:ascii="Times New Roman" w:eastAsia="Times New Roman" w:hAnsi="Times New Roman" w:cs="Times New Roman"/>
          <w:sz w:val="24"/>
        </w:rPr>
        <w:t>Ed.D</w:t>
      </w:r>
      <w:proofErr w:type="spellEnd"/>
      <w:r>
        <w:rPr>
          <w:rFonts w:ascii="Times New Roman" w:eastAsia="Times New Roman" w:hAnsi="Times New Roman" w:cs="Times New Roman"/>
          <w:sz w:val="24"/>
        </w:rPr>
        <w:t xml:space="preserve">.  Additional resources should be provided to support doctoral-qualified leaders who are able to access and engage the large body of literature related to contemporary issues in organizations, leadership, research methodologies, and Christian vocation. A recent book in the field, </w:t>
      </w:r>
      <w:r>
        <w:rPr>
          <w:rFonts w:ascii="Times New Roman" w:eastAsia="Times New Roman" w:hAnsi="Times New Roman" w:cs="Times New Roman"/>
          <w:i/>
          <w:sz w:val="24"/>
        </w:rPr>
        <w:t>In Their Own Words: A Journey to the Stewardship of the Practice of Education</w:t>
      </w:r>
      <w:r>
        <w:rPr>
          <w:rFonts w:ascii="Times New Roman" w:eastAsia="Times New Roman" w:hAnsi="Times New Roman" w:cs="Times New Roman"/>
          <w:sz w:val="24"/>
        </w:rPr>
        <w:t xml:space="preserve"> (Perry and Carson, 2013) states that "practitioners' dissertations address what works in schools and school systems and greater exploration and elaboration into the reasons why certain practices work in specific local settings."  In order to adequately support the exploration and elaboration of specific practices that doctoral students (practitioners) will be learning about with practicing professionals through individual and self-directed instruction, it is important that we have access to a larger collection of electronic resources than we do currently.  This is especially the case due to the online format of the courses, whereby students and many </w:t>
      </w:r>
      <w:proofErr w:type="gramStart"/>
      <w:r>
        <w:rPr>
          <w:rFonts w:ascii="Times New Roman" w:eastAsia="Times New Roman" w:hAnsi="Times New Roman" w:cs="Times New Roman"/>
          <w:sz w:val="24"/>
        </w:rPr>
        <w:t>faculty</w:t>
      </w:r>
      <w:proofErr w:type="gramEnd"/>
      <w:r>
        <w:rPr>
          <w:rFonts w:ascii="Times New Roman" w:eastAsia="Times New Roman" w:hAnsi="Times New Roman" w:cs="Times New Roman"/>
          <w:sz w:val="24"/>
        </w:rPr>
        <w:t xml:space="preserve"> will not have access to analog library resources in Abilene.</w:t>
      </w:r>
    </w:p>
    <w:p w:rsidR="00C04A6D" w:rsidRDefault="00D57E2D">
      <w:pPr>
        <w:spacing w:after="240"/>
        <w:ind w:firstLine="360"/>
        <w:jc w:val="both"/>
      </w:pPr>
      <w:r>
        <w:rPr>
          <w:rFonts w:ascii="Times New Roman" w:eastAsia="Times New Roman" w:hAnsi="Times New Roman" w:cs="Times New Roman"/>
          <w:sz w:val="24"/>
        </w:rPr>
        <w:t xml:space="preserve">Regarding library services, we do not currently have a librarian to support new online programs or a new </w:t>
      </w:r>
      <w:proofErr w:type="spellStart"/>
      <w:r>
        <w:rPr>
          <w:rFonts w:ascii="Times New Roman" w:eastAsia="Times New Roman" w:hAnsi="Times New Roman" w:cs="Times New Roman"/>
          <w:sz w:val="24"/>
        </w:rPr>
        <w:t>Ed.D</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with</w:t>
      </w:r>
      <w:proofErr w:type="gramEnd"/>
      <w:r>
        <w:rPr>
          <w:rFonts w:ascii="Times New Roman" w:eastAsia="Times New Roman" w:hAnsi="Times New Roman" w:cs="Times New Roman"/>
          <w:sz w:val="24"/>
        </w:rPr>
        <w:t xml:space="preserve"> research design in instructional design, library instruction during the courses, and other assistance in locating, providing, and exploring the literature that is represented by the outcomes of the program.  We currently operate a shared technological infrastructure to support instant messaging, text messaging, e-mail, and telephone for all 4,700 on-campus and off-campus students.   A 1-800 number is available but only goes to one librarian's phone.  In the current budgetary climate, the library maintains these services through annual cancellations of databases and reductions in monograph purchases that increase in cost 5% year, on average.  As a fully online program that will require well-maintained and knowledgeable research assistance, a library liaison that is familiar with the program and the discipline could be funded to for the program to provide asynchronous and synchronous library instruction for both classes and individuals.  Because of the work schedules of the students, the library liaison for the program will need to be accessible during weekends and evenings for in-depth consultation regarding research materials, selecting the proper research databases for a topic, and searching strategies and techniques.  The atypical hours would mean that a 32-hour position would be created instead of a full-time position.  The library liaison should serve on any advisory or curriculum planning committees for the program.</w:t>
      </w:r>
    </w:p>
    <w:p w:rsidR="00C04A6D" w:rsidRDefault="00D57E2D">
      <w:pPr>
        <w:spacing w:after="240"/>
        <w:ind w:firstLine="360"/>
        <w:jc w:val="both"/>
      </w:pPr>
      <w:r>
        <w:rPr>
          <w:rFonts w:ascii="Times New Roman" w:eastAsia="Times New Roman" w:hAnsi="Times New Roman" w:cs="Times New Roman"/>
          <w:sz w:val="24"/>
        </w:rPr>
        <w:lastRenderedPageBreak/>
        <w:t xml:space="preserve">Interlibrary loan services will significantly increase as a result of the new program and the library will be unable to fund the increase through its current model of providing free interlibrary loan for students and faculty.  In a published best practices model, it costs $4.00 to lend materials to other libraries and $9.00 to borrow items from other libraries.  Either the program will need to subsidize the library for interlibrary loans to students or we will need to charge the students directly for interlibrary loan services.  We recommend a subsidy of $5 per transaction for items that we borrow from other libraries and provide to the students directly (scanned items and returnable items) and returnable items that we provide to the local libraries where </w:t>
      </w:r>
      <w:proofErr w:type="gramStart"/>
      <w:r>
        <w:rPr>
          <w:rFonts w:ascii="Times New Roman" w:eastAsia="Times New Roman" w:hAnsi="Times New Roman" w:cs="Times New Roman"/>
          <w:sz w:val="24"/>
        </w:rPr>
        <w:t>students  go</w:t>
      </w:r>
      <w:proofErr w:type="gramEnd"/>
      <w:r>
        <w:rPr>
          <w:rFonts w:ascii="Times New Roman" w:eastAsia="Times New Roman" w:hAnsi="Times New Roman" w:cs="Times New Roman"/>
          <w:sz w:val="24"/>
        </w:rPr>
        <w:t xml:space="preserve"> to request items that we provide on a courier service or U.S. mail so ILL remains “free” at the point of need. Based on our current statistics of interlibrary loans per student, we would like to see the subsidy based on 3 loans per student per year.  If students were charged directly, we would need to develop new infrastructure and procedures.</w:t>
      </w:r>
    </w:p>
    <w:p w:rsidR="00C04A6D" w:rsidRDefault="00D57E2D">
      <w:pPr>
        <w:spacing w:after="240"/>
        <w:ind w:firstLine="360"/>
        <w:jc w:val="both"/>
      </w:pPr>
      <w:r>
        <w:rPr>
          <w:b/>
          <w:sz w:val="36"/>
        </w:rPr>
        <w:t>Current Databases and Electronic Books In Support of the Program</w:t>
      </w:r>
    </w:p>
    <w:p w:rsidR="00C04A6D" w:rsidRDefault="00D57E2D">
      <w:pPr>
        <w:spacing w:after="240"/>
        <w:ind w:firstLine="360"/>
        <w:jc w:val="both"/>
      </w:pPr>
      <w:r>
        <w:rPr>
          <w:rFonts w:ascii="Times New Roman" w:eastAsia="Times New Roman" w:hAnsi="Times New Roman" w:cs="Times New Roman"/>
          <w:sz w:val="24"/>
        </w:rPr>
        <w:t xml:space="preserve">A list of databases and sample e-books in support of the field of education can be found at </w:t>
      </w:r>
      <w:hyperlink r:id="rId7">
        <w:r>
          <w:rPr>
            <w:rFonts w:ascii="Times New Roman" w:eastAsia="Times New Roman" w:hAnsi="Times New Roman" w:cs="Times New Roman"/>
            <w:color w:val="1155CC"/>
            <w:sz w:val="24"/>
            <w:u w:val="single"/>
          </w:rPr>
          <w:t>http://guides.acu.edu/education</w:t>
        </w:r>
      </w:hyperlink>
      <w:r>
        <w:rPr>
          <w:rFonts w:ascii="Times New Roman" w:eastAsia="Times New Roman" w:hAnsi="Times New Roman" w:cs="Times New Roman"/>
          <w:sz w:val="24"/>
        </w:rPr>
        <w:t xml:space="preserve"> .</w:t>
      </w:r>
    </w:p>
    <w:p w:rsidR="00C04A6D" w:rsidRDefault="00D57E2D">
      <w:pPr>
        <w:spacing w:after="240"/>
        <w:ind w:firstLine="360"/>
        <w:jc w:val="both"/>
      </w:pPr>
      <w:proofErr w:type="gramStart"/>
      <w:r>
        <w:rPr>
          <w:rFonts w:ascii="Times New Roman" w:eastAsia="Times New Roman" w:hAnsi="Times New Roman" w:cs="Times New Roman"/>
          <w:sz w:val="24"/>
        </w:rPr>
        <w:t xml:space="preserve">In order to support the </w:t>
      </w:r>
      <w:proofErr w:type="spellStart"/>
      <w:r>
        <w:rPr>
          <w:rFonts w:ascii="Times New Roman" w:eastAsia="Times New Roman" w:hAnsi="Times New Roman" w:cs="Times New Roman"/>
          <w:sz w:val="24"/>
        </w:rPr>
        <w:t>Ed.D</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Organizational Leadership, these additional electronic resources should be considered for purchase or subscription:</w:t>
      </w:r>
    </w:p>
    <w:p w:rsidR="00C04A6D" w:rsidRDefault="00D57E2D">
      <w:pPr>
        <w:spacing w:after="240"/>
        <w:ind w:firstLine="360"/>
        <w:jc w:val="both"/>
      </w:pPr>
      <w:r>
        <w:rPr>
          <w:rFonts w:ascii="Times New Roman" w:eastAsia="Times New Roman" w:hAnsi="Times New Roman" w:cs="Times New Roman"/>
          <w:b/>
          <w:sz w:val="24"/>
        </w:rPr>
        <w:t xml:space="preserve">EBSCO Education Research Complete - ($7,500 annual subscription) - </w:t>
      </w:r>
      <w:r>
        <w:rPr>
          <w:rFonts w:ascii="Times New Roman" w:eastAsia="Times New Roman" w:hAnsi="Times New Roman" w:cs="Times New Roman"/>
          <w:sz w:val="24"/>
        </w:rPr>
        <w:t>ACU currently does not have a research database focused on full-text peer-reviewed journals in Educational Leadership.  Education Research Complete covers areas of administration, policy, finance, and related social issues.  Content in the database includes 1,400 full-text journals, 550 full-text books and monographs, and full-text of numerous conference papers and proceedings.</w:t>
      </w:r>
    </w:p>
    <w:p w:rsidR="00C04A6D" w:rsidRDefault="00D57E2D">
      <w:pPr>
        <w:spacing w:after="240"/>
        <w:ind w:firstLine="360"/>
        <w:jc w:val="both"/>
      </w:pPr>
      <w:r>
        <w:rPr>
          <w:rFonts w:ascii="Times New Roman" w:eastAsia="Times New Roman" w:hAnsi="Times New Roman" w:cs="Times New Roman"/>
          <w:b/>
          <w:sz w:val="24"/>
        </w:rPr>
        <w:t xml:space="preserve">Sage Research Methods Online - ($10,000 annual subscription) - </w:t>
      </w:r>
      <w:r>
        <w:rPr>
          <w:rFonts w:ascii="Times New Roman" w:eastAsia="Times New Roman" w:hAnsi="Times New Roman" w:cs="Times New Roman"/>
          <w:sz w:val="24"/>
        </w:rPr>
        <w:t>contains more than 800 book titles, dictionaries, encyclopedias and major works containing relevant journal articles from the SAGE journals collection. Sage Research Methods also has a Methods Map tool that will offer researchers a quick primer on how research methodologies are situated in current academic conversations.   All types of methodologies are covered in the collection.</w:t>
      </w:r>
    </w:p>
    <w:p w:rsidR="00C04A6D" w:rsidRDefault="00D57E2D">
      <w:pPr>
        <w:spacing w:after="240"/>
        <w:ind w:firstLine="360"/>
        <w:jc w:val="both"/>
      </w:pPr>
      <w:r>
        <w:rPr>
          <w:rFonts w:ascii="Times New Roman" w:eastAsia="Times New Roman" w:hAnsi="Times New Roman" w:cs="Times New Roman"/>
          <w:b/>
          <w:sz w:val="24"/>
        </w:rPr>
        <w:t xml:space="preserve">JSTOR Research Collections Arts and Sciences IV ($9,000 one-time archive fee, $3,300 Annual Access Fee OR $58,500 one time purchase) - </w:t>
      </w:r>
      <w:r>
        <w:rPr>
          <w:rFonts w:ascii="Times New Roman" w:eastAsia="Times New Roman" w:hAnsi="Times New Roman" w:cs="Times New Roman"/>
          <w:sz w:val="24"/>
        </w:rPr>
        <w:t xml:space="preserve">Large collections with focus on education and organizations.  Journals in the collection are archived to volume 1 and have a moving wall of access to current materials.  </w:t>
      </w:r>
      <w:proofErr w:type="gramStart"/>
      <w:r>
        <w:rPr>
          <w:rFonts w:ascii="Times New Roman" w:eastAsia="Times New Roman" w:hAnsi="Times New Roman" w:cs="Times New Roman"/>
          <w:sz w:val="24"/>
        </w:rPr>
        <w:t xml:space="preserve">A recent article by Karin Griffin on citation analysis of </w:t>
      </w:r>
      <w:proofErr w:type="spellStart"/>
      <w:r>
        <w:rPr>
          <w:rFonts w:ascii="Times New Roman" w:eastAsia="Times New Roman" w:hAnsi="Times New Roman" w:cs="Times New Roman"/>
          <w:sz w:val="24"/>
        </w:rPr>
        <w:t>Ed.D</w:t>
      </w:r>
      <w:proofErr w:type="spellEnd"/>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dissertations</w:t>
      </w:r>
      <w:proofErr w:type="gramEnd"/>
      <w:r>
        <w:rPr>
          <w:rFonts w:ascii="Times New Roman" w:eastAsia="Times New Roman" w:hAnsi="Times New Roman" w:cs="Times New Roman"/>
          <w:sz w:val="24"/>
        </w:rPr>
        <w:t xml:space="preserve"> found that the average age of citations was 10 years, thus showing that students do value access to archived information resources.  The most relevant JSTOR collection is Arts and Sciences IV to highlight education journals.</w:t>
      </w:r>
    </w:p>
    <w:p w:rsidR="00C04A6D" w:rsidRDefault="00D57E2D">
      <w:pPr>
        <w:spacing w:after="240"/>
        <w:ind w:firstLine="360"/>
        <w:jc w:val="both"/>
      </w:pPr>
      <w:proofErr w:type="spellStart"/>
      <w:r>
        <w:rPr>
          <w:rFonts w:ascii="Times New Roman" w:eastAsia="Times New Roman" w:hAnsi="Times New Roman" w:cs="Times New Roman"/>
          <w:b/>
          <w:sz w:val="24"/>
        </w:rPr>
        <w:lastRenderedPageBreak/>
        <w:t>Proquest</w:t>
      </w:r>
      <w:proofErr w:type="spellEnd"/>
      <w:r>
        <w:rPr>
          <w:rFonts w:ascii="Times New Roman" w:eastAsia="Times New Roman" w:hAnsi="Times New Roman" w:cs="Times New Roman"/>
          <w:b/>
          <w:sz w:val="24"/>
        </w:rPr>
        <w:t xml:space="preserve"> Dissertations and Theses Section A Full-Text Social and Behavioral Sciences ($9,800 Annual Subscription)</w:t>
      </w:r>
      <w:r>
        <w:rPr>
          <w:rFonts w:ascii="Times New Roman" w:eastAsia="Times New Roman" w:hAnsi="Times New Roman" w:cs="Times New Roman"/>
          <w:sz w:val="24"/>
        </w:rPr>
        <w:t xml:space="preserve"> - Full-text of most </w:t>
      </w:r>
      <w:proofErr w:type="spellStart"/>
      <w:r>
        <w:rPr>
          <w:rFonts w:ascii="Times New Roman" w:eastAsia="Times New Roman" w:hAnsi="Times New Roman" w:cs="Times New Roman"/>
          <w:sz w:val="24"/>
        </w:rPr>
        <w:t>Ed.D</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dissertations</w:t>
      </w:r>
      <w:proofErr w:type="gramEnd"/>
      <w:r>
        <w:rPr>
          <w:rFonts w:ascii="Times New Roman" w:eastAsia="Times New Roman" w:hAnsi="Times New Roman" w:cs="Times New Roman"/>
          <w:sz w:val="24"/>
        </w:rPr>
        <w:t xml:space="preserve"> and theses back to 1997.</w:t>
      </w:r>
    </w:p>
    <w:p w:rsidR="00C04A6D" w:rsidRDefault="00D57E2D">
      <w:pPr>
        <w:spacing w:after="240"/>
        <w:jc w:val="both"/>
      </w:pPr>
      <w:r>
        <w:rPr>
          <w:rFonts w:ascii="Times New Roman" w:eastAsia="Times New Roman" w:hAnsi="Times New Roman" w:cs="Times New Roman"/>
          <w:b/>
          <w:sz w:val="24"/>
        </w:rPr>
        <w:t xml:space="preserve">EBSCO Demand-Driven Access/Short-Term Loans of E-Books ($20,000/yr.) - </w:t>
      </w:r>
      <w:r>
        <w:rPr>
          <w:rFonts w:ascii="Times New Roman" w:eastAsia="Times New Roman" w:hAnsi="Times New Roman" w:cs="Times New Roman"/>
          <w:sz w:val="24"/>
        </w:rPr>
        <w:t xml:space="preserve">Through this program we are able to provide a large number of e-books in the areas of educational administration and leadership to students and pay for the use of the items based on student need.  We can allow the uses to trigger purchases of e-book titles (10 minutes exploring the book or one chapter download), or utilize short-term loans to pay a smaller fee for use of the e-book. </w:t>
      </w:r>
      <w:r>
        <w:rPr>
          <w:rFonts w:ascii="Times New Roman" w:eastAsia="Times New Roman" w:hAnsi="Times New Roman" w:cs="Times New Roman"/>
          <w:b/>
          <w:sz w:val="24"/>
        </w:rPr>
        <w:t xml:space="preserve"> </w:t>
      </w:r>
      <w:r>
        <w:rPr>
          <w:rFonts w:ascii="Times New Roman" w:eastAsia="Times New Roman" w:hAnsi="Times New Roman" w:cs="Times New Roman"/>
          <w:sz w:val="24"/>
        </w:rPr>
        <w:t>Value of the initial list of demand-driven access titles (1,135 titles available for DDA in the areas of educational administration and leadership) totals $128,035.00.</w:t>
      </w:r>
    </w:p>
    <w:p w:rsidR="00C04A6D" w:rsidRDefault="00C04A6D">
      <w:pPr>
        <w:spacing w:after="240"/>
        <w:ind w:firstLine="360"/>
        <w:jc w:val="both"/>
      </w:pPr>
    </w:p>
    <w:p w:rsidR="00C04A6D" w:rsidRDefault="00D57E2D">
      <w:pPr>
        <w:spacing w:after="240"/>
        <w:ind w:firstLine="360"/>
        <w:jc w:val="both"/>
      </w:pPr>
      <w:proofErr w:type="gramStart"/>
      <w:r>
        <w:rPr>
          <w:rFonts w:ascii="Times New Roman" w:eastAsia="Times New Roman" w:hAnsi="Times New Roman" w:cs="Times New Roman"/>
          <w:b/>
          <w:sz w:val="36"/>
        </w:rPr>
        <w:t xml:space="preserve">Library Liaison for Online </w:t>
      </w:r>
      <w:proofErr w:type="spellStart"/>
      <w:r>
        <w:rPr>
          <w:rFonts w:ascii="Times New Roman" w:eastAsia="Times New Roman" w:hAnsi="Times New Roman" w:cs="Times New Roman"/>
          <w:b/>
          <w:sz w:val="36"/>
        </w:rPr>
        <w:t>Ed.D</w:t>
      </w:r>
      <w:proofErr w:type="spellEnd"/>
      <w:r>
        <w:rPr>
          <w:rFonts w:ascii="Times New Roman" w:eastAsia="Times New Roman" w:hAnsi="Times New Roman" w:cs="Times New Roman"/>
          <w:b/>
          <w:sz w:val="36"/>
        </w:rPr>
        <w:t>.</w:t>
      </w:r>
      <w:proofErr w:type="gramEnd"/>
      <w:r>
        <w:rPr>
          <w:rFonts w:ascii="Times New Roman" w:eastAsia="Times New Roman" w:hAnsi="Times New Roman" w:cs="Times New Roman"/>
          <w:b/>
          <w:sz w:val="36"/>
        </w:rPr>
        <w:t xml:space="preserve"> Program</w:t>
      </w:r>
    </w:p>
    <w:p w:rsidR="00C04A6D" w:rsidRDefault="00D57E2D">
      <w:pPr>
        <w:spacing w:after="240"/>
        <w:ind w:firstLine="360"/>
        <w:jc w:val="both"/>
      </w:pPr>
      <w:r>
        <w:rPr>
          <w:rFonts w:ascii="Times New Roman" w:eastAsia="Times New Roman" w:hAnsi="Times New Roman" w:cs="Times New Roman"/>
          <w:sz w:val="24"/>
        </w:rPr>
        <w:t xml:space="preserve">Additional financial resources should be provided for a three-quarter time (32 </w:t>
      </w:r>
      <w:proofErr w:type="spellStart"/>
      <w:r>
        <w:rPr>
          <w:rFonts w:ascii="Times New Roman" w:eastAsia="Times New Roman" w:hAnsi="Times New Roman" w:cs="Times New Roman"/>
          <w:sz w:val="24"/>
        </w:rPr>
        <w:t>hr</w:t>
      </w:r>
      <w:proofErr w:type="spellEnd"/>
      <w:r>
        <w:rPr>
          <w:rFonts w:ascii="Times New Roman" w:eastAsia="Times New Roman" w:hAnsi="Times New Roman" w:cs="Times New Roman"/>
          <w:sz w:val="24"/>
        </w:rPr>
        <w:t>/week) library liaison for the program to provide library research support and instruction for both classes and individuals during evenings and weekends.  Because of the work schedules of the students, the library liaison for the department should be accessible during weekends and evenings for in-depth consultation regarding research materials, selecting the proper research databases for a topic, and searching strategies and techniques.  The library liaison should serve on any advisory or curriculum planning committees for the program.</w:t>
      </w:r>
    </w:p>
    <w:p w:rsidR="00C04A6D" w:rsidRDefault="00D57E2D">
      <w:pPr>
        <w:spacing w:after="240"/>
        <w:ind w:firstLine="360"/>
        <w:jc w:val="both"/>
      </w:pPr>
      <w:r>
        <w:rPr>
          <w:rFonts w:ascii="Times New Roman" w:eastAsia="Times New Roman" w:hAnsi="Times New Roman" w:cs="Times New Roman"/>
          <w:b/>
          <w:sz w:val="24"/>
        </w:rPr>
        <w:t xml:space="preserve">Starting salary, including </w:t>
      </w:r>
      <w:proofErr w:type="gramStart"/>
      <w:r>
        <w:rPr>
          <w:rFonts w:ascii="Times New Roman" w:eastAsia="Times New Roman" w:hAnsi="Times New Roman" w:cs="Times New Roman"/>
          <w:b/>
          <w:sz w:val="24"/>
        </w:rPr>
        <w:t>benefits</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b/>
          <w:sz w:val="24"/>
        </w:rPr>
        <w:t>$44,400</w:t>
      </w:r>
    </w:p>
    <w:p w:rsidR="00C04A6D" w:rsidRDefault="00D57E2D">
      <w:pPr>
        <w:spacing w:after="240"/>
        <w:ind w:firstLine="360"/>
        <w:jc w:val="both"/>
      </w:pPr>
      <w:r>
        <w:rPr>
          <w:rFonts w:ascii="Times New Roman" w:eastAsia="Times New Roman" w:hAnsi="Times New Roman" w:cs="Times New Roman"/>
          <w:sz w:val="24"/>
        </w:rPr>
        <w:t xml:space="preserve">Share in cost of technology infrastructure for support of instant messaging, text messaging, e-mail, and telephone (1-800 number) for students in the program </w:t>
      </w:r>
    </w:p>
    <w:p w:rsidR="00C04A6D" w:rsidRDefault="00D57E2D">
      <w:pPr>
        <w:spacing w:after="240"/>
        <w:ind w:firstLine="360"/>
        <w:jc w:val="both"/>
      </w:pPr>
      <w:r>
        <w:rPr>
          <w:rFonts w:ascii="Times New Roman" w:eastAsia="Times New Roman" w:hAnsi="Times New Roman" w:cs="Times New Roman"/>
          <w:b/>
          <w:sz w:val="24"/>
        </w:rPr>
        <w:t>Annual cost: $750.00</w:t>
      </w:r>
    </w:p>
    <w:p w:rsidR="00C04A6D" w:rsidRDefault="00C04A6D">
      <w:pPr>
        <w:spacing w:after="240"/>
        <w:ind w:firstLine="360"/>
        <w:jc w:val="both"/>
      </w:pPr>
    </w:p>
    <w:p w:rsidR="00C04A6D" w:rsidRDefault="00D57E2D">
      <w:pPr>
        <w:spacing w:after="240"/>
        <w:ind w:firstLine="360"/>
        <w:jc w:val="both"/>
      </w:pPr>
      <w:r>
        <w:rPr>
          <w:rFonts w:ascii="Times New Roman" w:eastAsia="Times New Roman" w:hAnsi="Times New Roman" w:cs="Times New Roman"/>
          <w:b/>
          <w:sz w:val="36"/>
        </w:rPr>
        <w:t>Interlibrary Loan</w:t>
      </w:r>
    </w:p>
    <w:p w:rsidR="00C04A6D" w:rsidRDefault="00D57E2D">
      <w:pPr>
        <w:spacing w:after="240"/>
        <w:ind w:firstLine="360"/>
        <w:jc w:val="both"/>
      </w:pPr>
      <w:r>
        <w:rPr>
          <w:rFonts w:ascii="Times New Roman" w:eastAsia="Times New Roman" w:hAnsi="Times New Roman" w:cs="Times New Roman"/>
          <w:sz w:val="24"/>
        </w:rPr>
        <w:t>Interlibrary loan services will significantly increase as a result of the new program, especially due to the online format. The library will be unable to fund the increase through its current model of providing free interlibrary loan for students and faculty, which is already stressed.  Either the program will need to subsidize the library for interlibrary loans to students or we will need to charge the students directly for interlibrary loan services.</w:t>
      </w:r>
    </w:p>
    <w:p w:rsidR="00C04A6D" w:rsidRDefault="00D57E2D">
      <w:pPr>
        <w:spacing w:after="240"/>
        <w:jc w:val="both"/>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Cost for subsidizing Interlibrary Loan for </w:t>
      </w:r>
      <w:proofErr w:type="spellStart"/>
      <w:r>
        <w:rPr>
          <w:rFonts w:ascii="Times New Roman" w:eastAsia="Times New Roman" w:hAnsi="Times New Roman" w:cs="Times New Roman"/>
          <w:b/>
          <w:sz w:val="24"/>
        </w:rPr>
        <w:t>Ed.D</w:t>
      </w:r>
      <w:proofErr w:type="spellEnd"/>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students</w:t>
      </w:r>
      <w:proofErr w:type="gramEnd"/>
      <w:r>
        <w:rPr>
          <w:rFonts w:ascii="Times New Roman" w:eastAsia="Times New Roman" w:hAnsi="Times New Roman" w:cs="Times New Roman"/>
          <w:b/>
          <w:sz w:val="24"/>
        </w:rPr>
        <w:t xml:space="preserve"> : See budget.  Cost is based on:  $5 x new starting students (projected) x three loans for each student.</w:t>
      </w:r>
    </w:p>
    <w:p w:rsidR="00C04A6D" w:rsidRDefault="00C04A6D">
      <w:pPr>
        <w:spacing w:after="240"/>
        <w:jc w:val="both"/>
      </w:pPr>
    </w:p>
    <w:p w:rsidR="00C04A6D" w:rsidRDefault="00D57E2D">
      <w:pPr>
        <w:spacing w:after="240"/>
        <w:jc w:val="both"/>
      </w:pPr>
      <w:r>
        <w:rPr>
          <w:rFonts w:ascii="Times New Roman" w:eastAsia="Times New Roman" w:hAnsi="Times New Roman" w:cs="Times New Roman"/>
          <w:b/>
          <w:sz w:val="24"/>
        </w:rPr>
        <w:t>Five Year-Budget 2015-2020</w:t>
      </w:r>
    </w:p>
    <w:tbl>
      <w:tblPr>
        <w:tblStyle w:val="a"/>
        <w:tblW w:w="8595" w:type="dxa"/>
        <w:tblInd w:w="-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05"/>
        <w:gridCol w:w="1215"/>
        <w:gridCol w:w="1215"/>
        <w:gridCol w:w="1215"/>
        <w:gridCol w:w="1215"/>
        <w:gridCol w:w="1215"/>
        <w:gridCol w:w="1215"/>
      </w:tblGrid>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C04A6D">
            <w:pPr>
              <w:jc w:val="both"/>
            </w:pP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FY 2016</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FY 2017</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FY 2018</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FY2019</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FY 2020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FY2021</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EBSCO Education (5% inflationary increase</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$7,500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$7,875</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$8,269</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$8,682</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$9,116</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$9,572</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r>
              <w:rPr>
                <w:rFonts w:ascii="Times New Roman" w:eastAsia="Times New Roman" w:hAnsi="Times New Roman" w:cs="Times New Roman"/>
                <w:b/>
                <w:sz w:val="20"/>
              </w:rPr>
              <w:t>Sage Research Methods Online (5% inflationary increase)</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$10,000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$10,500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$11,025</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$11,576</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$12,165</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$12,773</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JSTOR Arts and Sciences IV (5% inflationary cost)</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$12,300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$3,300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$3,465</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$3,638</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$3,820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4011.00</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EBSCO E-Books</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$20,000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$20,000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$20,000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$20,000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$20,000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$20,000</w:t>
            </w:r>
          </w:p>
        </w:tc>
      </w:tr>
      <w:tr w:rsidR="00C04A6D">
        <w:tc>
          <w:tcPr>
            <w:tcW w:w="1305" w:type="dxa"/>
            <w:tcBorders>
              <w:top w:val="single" w:sz="8" w:space="0" w:color="FFFFFF"/>
              <w:left w:val="single" w:sz="8" w:space="0" w:color="FFFFFF"/>
              <w:bottom w:val="single" w:sz="8" w:space="0" w:color="FFFFFF"/>
            </w:tcBorders>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Subtotal</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$49,800</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$41,675</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$42,759</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$43,896</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$45,101</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$46,356</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C04A6D">
            <w:pPr>
              <w:jc w:val="both"/>
            </w:pPr>
          </w:p>
        </w:tc>
        <w:tc>
          <w:tcPr>
            <w:tcW w:w="1215" w:type="dxa"/>
            <w:tcMar>
              <w:top w:w="100" w:type="dxa"/>
              <w:left w:w="100" w:type="dxa"/>
              <w:bottom w:w="100" w:type="dxa"/>
              <w:right w:w="100" w:type="dxa"/>
            </w:tcMar>
          </w:tcPr>
          <w:p w:rsidR="00C04A6D" w:rsidRDefault="00C04A6D">
            <w:pPr>
              <w:jc w:val="both"/>
            </w:pPr>
          </w:p>
        </w:tc>
        <w:tc>
          <w:tcPr>
            <w:tcW w:w="1215" w:type="dxa"/>
            <w:tcMar>
              <w:top w:w="100" w:type="dxa"/>
              <w:left w:w="100" w:type="dxa"/>
              <w:bottom w:w="100" w:type="dxa"/>
              <w:right w:w="100" w:type="dxa"/>
            </w:tcMar>
          </w:tcPr>
          <w:p w:rsidR="00C04A6D" w:rsidRDefault="00C04A6D">
            <w:pPr>
              <w:jc w:val="both"/>
            </w:pPr>
          </w:p>
        </w:tc>
        <w:tc>
          <w:tcPr>
            <w:tcW w:w="1215" w:type="dxa"/>
            <w:tcMar>
              <w:top w:w="100" w:type="dxa"/>
              <w:left w:w="100" w:type="dxa"/>
              <w:bottom w:w="100" w:type="dxa"/>
              <w:right w:w="100" w:type="dxa"/>
            </w:tcMar>
          </w:tcPr>
          <w:p w:rsidR="00C04A6D" w:rsidRDefault="00C04A6D">
            <w:pPr>
              <w:jc w:val="both"/>
            </w:pPr>
          </w:p>
        </w:tc>
        <w:tc>
          <w:tcPr>
            <w:tcW w:w="1215" w:type="dxa"/>
            <w:tcMar>
              <w:top w:w="100" w:type="dxa"/>
              <w:left w:w="100" w:type="dxa"/>
              <w:bottom w:w="100" w:type="dxa"/>
              <w:right w:w="100" w:type="dxa"/>
            </w:tcMar>
          </w:tcPr>
          <w:p w:rsidR="00C04A6D" w:rsidRDefault="00C04A6D">
            <w:pPr>
              <w:jc w:val="both"/>
            </w:pPr>
          </w:p>
        </w:tc>
        <w:tc>
          <w:tcPr>
            <w:tcW w:w="1215" w:type="dxa"/>
            <w:tcMar>
              <w:top w:w="100" w:type="dxa"/>
              <w:left w:w="100" w:type="dxa"/>
              <w:bottom w:w="100" w:type="dxa"/>
              <w:right w:w="100" w:type="dxa"/>
            </w:tcMar>
          </w:tcPr>
          <w:p w:rsidR="00C04A6D" w:rsidRDefault="00C04A6D">
            <w:pPr>
              <w:jc w:val="both"/>
            </w:pPr>
          </w:p>
        </w:tc>
        <w:tc>
          <w:tcPr>
            <w:tcW w:w="1215" w:type="dxa"/>
            <w:tcMar>
              <w:top w:w="100" w:type="dxa"/>
              <w:left w:w="100" w:type="dxa"/>
              <w:bottom w:w="100" w:type="dxa"/>
              <w:right w:w="100" w:type="dxa"/>
            </w:tcMar>
          </w:tcPr>
          <w:p w:rsidR="00C04A6D" w:rsidRDefault="00C04A6D">
            <w:pPr>
              <w:jc w:val="both"/>
            </w:pP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Librarian Liaison (3% Annual Raise)</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$44,400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$45,732</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$47,104</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$48,517</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$49,972</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$51,471</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t>Technology for research help (5% inflation cost)</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$750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$787</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$826</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$867</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$910</w:t>
            </w:r>
          </w:p>
        </w:tc>
        <w:tc>
          <w:tcPr>
            <w:tcW w:w="1215" w:type="dxa"/>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$955</w:t>
            </w:r>
          </w:p>
        </w:tc>
      </w:tr>
      <w:tr w:rsidR="00C04A6D">
        <w:tc>
          <w:tcPr>
            <w:tcW w:w="1305" w:type="dxa"/>
            <w:tcBorders>
              <w:top w:val="single" w:sz="8" w:space="0" w:color="FFFFFF"/>
              <w:left w:val="single" w:sz="8" w:space="0" w:color="FFFFFF"/>
              <w:bottom w:val="single" w:sz="8" w:space="0" w:color="FFFFFF"/>
            </w:tcBorders>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Subtotal</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$45,150</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$46,519</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$47,930</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$49,384</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$50,882</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$52,426</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18"/>
              </w:rPr>
              <w:t xml:space="preserve">Interlibrary Loan (based on </w:t>
            </w:r>
            <w:proofErr w:type="spellStart"/>
            <w:r>
              <w:rPr>
                <w:rFonts w:ascii="Times New Roman" w:eastAsia="Times New Roman" w:hAnsi="Times New Roman" w:cs="Times New Roman"/>
                <w:b/>
                <w:sz w:val="18"/>
              </w:rPr>
              <w:t>Ed.D</w:t>
            </w:r>
            <w:proofErr w:type="spellEnd"/>
            <w:r>
              <w:rPr>
                <w:rFonts w:ascii="Times New Roman" w:eastAsia="Times New Roman" w:hAnsi="Times New Roman" w:cs="Times New Roman"/>
                <w:b/>
                <w:sz w:val="18"/>
              </w:rPr>
              <w:t>. new starts - $5 X new starts X three subsidized loans per year)</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$1,065</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$2,385</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$3,675</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$4,020</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$4,020</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rPr>
              <w:t>$4,020</w:t>
            </w:r>
          </w:p>
        </w:tc>
      </w:tr>
      <w:tr w:rsidR="00C04A6D">
        <w:tc>
          <w:tcPr>
            <w:tcW w:w="1305" w:type="dxa"/>
            <w:tcBorders>
              <w:top w:val="single" w:sz="8" w:space="0" w:color="FFFFFF"/>
              <w:left w:val="single" w:sz="8" w:space="0" w:color="FFFFFF"/>
              <w:bottom w:val="single" w:sz="8" w:space="0" w:color="FFFFFF"/>
            </w:tcBorders>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0"/>
              </w:rPr>
              <w:lastRenderedPageBreak/>
              <w:t>Total Expenditure</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$96,015</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$90,579</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$94,364</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$97,300</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$100,003</w:t>
            </w:r>
          </w:p>
        </w:tc>
        <w:tc>
          <w:tcPr>
            <w:tcW w:w="1215" w:type="dxa"/>
            <w:shd w:val="clear" w:color="auto" w:fill="FFFF00"/>
            <w:tcMar>
              <w:top w:w="100" w:type="dxa"/>
              <w:left w:w="100" w:type="dxa"/>
              <w:bottom w:w="100" w:type="dxa"/>
              <w:right w:w="100" w:type="dxa"/>
            </w:tcMar>
          </w:tcPr>
          <w:p w:rsidR="00C04A6D" w:rsidRDefault="00D57E2D">
            <w:pPr>
              <w:jc w:val="both"/>
            </w:pPr>
            <w:r>
              <w:rPr>
                <w:rFonts w:ascii="Times New Roman" w:eastAsia="Times New Roman" w:hAnsi="Times New Roman" w:cs="Times New Roman"/>
                <w:b/>
                <w:sz w:val="24"/>
              </w:rPr>
              <w:t>$102,802</w:t>
            </w:r>
          </w:p>
        </w:tc>
      </w:tr>
    </w:tbl>
    <w:p w:rsidR="00C04A6D" w:rsidRDefault="00C04A6D">
      <w:pPr>
        <w:spacing w:after="240"/>
        <w:ind w:firstLine="360"/>
        <w:jc w:val="both"/>
      </w:pPr>
    </w:p>
    <w:sectPr w:rsidR="00C04A6D">
      <w:headerReference w:type="default" r:id="rId8"/>
      <w:footerReference w:type="default" r:id="rId9"/>
      <w:pgSz w:w="12240" w:h="15840"/>
      <w:pgMar w:top="1685"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E2D" w:rsidRDefault="00D57E2D">
      <w:r>
        <w:separator/>
      </w:r>
    </w:p>
  </w:endnote>
  <w:endnote w:type="continuationSeparator" w:id="0">
    <w:p w:rsidR="00D57E2D" w:rsidRDefault="00D5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orgia">
    <w:panose1 w:val="02040502050405020303"/>
    <w:charset w:val="00"/>
    <w:family w:val="auto"/>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6D" w:rsidRDefault="00D57E2D">
    <w:pPr>
      <w:keepLines/>
      <w:tabs>
        <w:tab w:val="center" w:pos="4320"/>
        <w:tab w:val="right" w:pos="8640"/>
      </w:tabs>
      <w:spacing w:before="600"/>
      <w:ind w:right="-239"/>
      <w:jc w:val="center"/>
    </w:pPr>
    <w:r>
      <w:tab/>
    </w:r>
    <w:r>
      <w:tab/>
    </w:r>
    <w:r>
      <w:fldChar w:fldCharType="begin"/>
    </w:r>
    <w:r>
      <w:instrText>PAGE</w:instrText>
    </w:r>
    <w:r>
      <w:fldChar w:fldCharType="separate"/>
    </w:r>
    <w:r w:rsidR="00FD423E">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E2D" w:rsidRDefault="00D57E2D">
      <w:r>
        <w:separator/>
      </w:r>
    </w:p>
  </w:footnote>
  <w:footnote w:type="continuationSeparator" w:id="0">
    <w:p w:rsidR="00D57E2D" w:rsidRDefault="00D57E2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A6D" w:rsidRDefault="00C04A6D">
    <w:pPr>
      <w:keepLines/>
      <w:tabs>
        <w:tab w:val="center" w:pos="4320"/>
        <w:tab w:val="right" w:pos="8640"/>
      </w:tabs>
      <w:spacing w:after="66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04A6D"/>
    <w:rsid w:val="00C04A6D"/>
    <w:rsid w:val="00D57E2D"/>
    <w:rsid w:val="00F74C94"/>
    <w:rsid w:val="00FD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Garamond" w:hAnsi="Garamond" w:cs="Garamond"/>
        <w:color w:val="000000"/>
        <w:sz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80"/>
      <w:jc w:val="center"/>
      <w:outlineLvl w:val="0"/>
    </w:pPr>
    <w:rPr>
      <w:smallCaps/>
      <w:sz w:val="20"/>
    </w:rPr>
  </w:style>
  <w:style w:type="paragraph" w:styleId="Heading2">
    <w:name w:val="heading 2"/>
    <w:basedOn w:val="Normal"/>
    <w:next w:val="Normal"/>
    <w:pPr>
      <w:keepNext/>
      <w:keepLines/>
      <w:spacing w:after="170"/>
      <w:outlineLvl w:val="1"/>
    </w:pPr>
    <w:rPr>
      <w:smallCaps/>
    </w:rPr>
  </w:style>
  <w:style w:type="paragraph" w:styleId="Heading3">
    <w:name w:val="heading 3"/>
    <w:basedOn w:val="Normal"/>
    <w:next w:val="Normal"/>
    <w:pPr>
      <w:keepNext/>
      <w:keepLines/>
      <w:spacing w:after="240"/>
      <w:outlineLvl w:val="2"/>
    </w:pPr>
    <w:rPr>
      <w:i/>
    </w:rPr>
  </w:style>
  <w:style w:type="paragraph" w:styleId="Heading4">
    <w:name w:val="heading 4"/>
    <w:basedOn w:val="Normal"/>
    <w:next w:val="Normal"/>
    <w:pPr>
      <w:keepNext/>
      <w:keepLines/>
      <w:outlineLvl w:val="3"/>
    </w:pPr>
    <w:rPr>
      <w:smallCaps/>
    </w:rPr>
  </w:style>
  <w:style w:type="paragraph" w:styleId="Heading5">
    <w:name w:val="heading 5"/>
    <w:basedOn w:val="Normal"/>
    <w:next w:val="Normal"/>
    <w:pPr>
      <w:keepNext/>
      <w:keepLines/>
      <w:outlineLvl w:val="4"/>
    </w:pPr>
  </w:style>
  <w:style w:type="paragraph" w:styleId="Heading6">
    <w:name w:val="heading 6"/>
    <w:basedOn w:val="Normal"/>
    <w:next w:val="Normal"/>
    <w:pPr>
      <w:keepNext/>
      <w:keepLine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Garamond" w:hAnsi="Garamond" w:cs="Garamond"/>
        <w:color w:val="000000"/>
        <w:sz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80"/>
      <w:jc w:val="center"/>
      <w:outlineLvl w:val="0"/>
    </w:pPr>
    <w:rPr>
      <w:smallCaps/>
      <w:sz w:val="20"/>
    </w:rPr>
  </w:style>
  <w:style w:type="paragraph" w:styleId="Heading2">
    <w:name w:val="heading 2"/>
    <w:basedOn w:val="Normal"/>
    <w:next w:val="Normal"/>
    <w:pPr>
      <w:keepNext/>
      <w:keepLines/>
      <w:spacing w:after="170"/>
      <w:outlineLvl w:val="1"/>
    </w:pPr>
    <w:rPr>
      <w:smallCaps/>
    </w:rPr>
  </w:style>
  <w:style w:type="paragraph" w:styleId="Heading3">
    <w:name w:val="heading 3"/>
    <w:basedOn w:val="Normal"/>
    <w:next w:val="Normal"/>
    <w:pPr>
      <w:keepNext/>
      <w:keepLines/>
      <w:spacing w:after="240"/>
      <w:outlineLvl w:val="2"/>
    </w:pPr>
    <w:rPr>
      <w:i/>
    </w:rPr>
  </w:style>
  <w:style w:type="paragraph" w:styleId="Heading4">
    <w:name w:val="heading 4"/>
    <w:basedOn w:val="Normal"/>
    <w:next w:val="Normal"/>
    <w:pPr>
      <w:keepNext/>
      <w:keepLines/>
      <w:outlineLvl w:val="3"/>
    </w:pPr>
    <w:rPr>
      <w:smallCaps/>
    </w:rPr>
  </w:style>
  <w:style w:type="paragraph" w:styleId="Heading5">
    <w:name w:val="heading 5"/>
    <w:basedOn w:val="Normal"/>
    <w:next w:val="Normal"/>
    <w:pPr>
      <w:keepNext/>
      <w:keepLines/>
      <w:outlineLvl w:val="4"/>
    </w:pPr>
  </w:style>
  <w:style w:type="paragraph" w:styleId="Heading6">
    <w:name w:val="heading 6"/>
    <w:basedOn w:val="Normal"/>
    <w:next w:val="Normal"/>
    <w:pPr>
      <w:keepNext/>
      <w:keepLine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uides.acu.edu/education"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7879</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Course Proposal - Ed.D. in Higher Education.docx.docx</vt:lpstr>
    </vt:vector>
  </TitlesOfParts>
  <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Proposal - Ed.D. in Higher Education.docx.docx</dc:title>
  <dc:creator>Mark McCallon</dc:creator>
  <cp:lastModifiedBy>Jaime Goff</cp:lastModifiedBy>
  <cp:revision>2</cp:revision>
  <dcterms:created xsi:type="dcterms:W3CDTF">2014-08-31T16:23:00Z</dcterms:created>
  <dcterms:modified xsi:type="dcterms:W3CDTF">2014-08-31T16:23:00Z</dcterms:modified>
</cp:coreProperties>
</file>