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48" w:rsidRDefault="001E4A48">
      <w:pPr>
        <w:widowControl w:val="0"/>
        <w:rPr>
          <w:b/>
          <w:sz w:val="28"/>
          <w:szCs w:val="28"/>
        </w:rPr>
      </w:pPr>
      <w:r w:rsidRPr="001E4A48">
        <w:rPr>
          <w:b/>
          <w:smallCaps/>
          <w:sz w:val="28"/>
          <w:szCs w:val="28"/>
        </w:rPr>
        <w:t>Joseph Stubenrauch</w:t>
      </w:r>
    </w:p>
    <w:p w:rsidR="002941BA" w:rsidRDefault="002941BA" w:rsidP="001922B5">
      <w:pPr>
        <w:widowControl w:val="0"/>
        <w:rPr>
          <w:sz w:val="23"/>
          <w:szCs w:val="23"/>
        </w:rPr>
      </w:pPr>
      <w:r>
        <w:rPr>
          <w:sz w:val="23"/>
          <w:szCs w:val="23"/>
        </w:rPr>
        <w:t>Assistant Professor, Department of History, Baylor University</w:t>
      </w:r>
    </w:p>
    <w:p w:rsidR="004E5C26" w:rsidRDefault="004E5C26" w:rsidP="004E5C26">
      <w:pPr>
        <w:widowControl w:val="0"/>
        <w:rPr>
          <w:sz w:val="23"/>
          <w:szCs w:val="23"/>
        </w:rPr>
      </w:pPr>
      <w:r w:rsidRPr="004E5C26">
        <w:rPr>
          <w:sz w:val="23"/>
          <w:szCs w:val="23"/>
        </w:rPr>
        <w:t>One Bear Place #97306</w:t>
      </w:r>
      <w:r>
        <w:rPr>
          <w:sz w:val="23"/>
          <w:szCs w:val="23"/>
        </w:rPr>
        <w:t xml:space="preserve">, </w:t>
      </w:r>
      <w:r w:rsidRPr="004E5C26">
        <w:rPr>
          <w:sz w:val="23"/>
          <w:szCs w:val="23"/>
        </w:rPr>
        <w:t xml:space="preserve">Waco, TX 76798-7306 </w:t>
      </w:r>
    </w:p>
    <w:p w:rsidR="006631B7" w:rsidRDefault="00E5066D" w:rsidP="004E5C26">
      <w:pPr>
        <w:widowControl w:val="0"/>
        <w:rPr>
          <w:sz w:val="23"/>
          <w:szCs w:val="23"/>
        </w:rPr>
      </w:pPr>
      <w:r>
        <w:rPr>
          <w:sz w:val="23"/>
          <w:szCs w:val="23"/>
        </w:rPr>
        <w:t>(254</w:t>
      </w:r>
      <w:r w:rsidR="002941BA">
        <w:rPr>
          <w:sz w:val="23"/>
          <w:szCs w:val="23"/>
        </w:rPr>
        <w:t xml:space="preserve">) </w:t>
      </w:r>
      <w:r>
        <w:rPr>
          <w:sz w:val="23"/>
          <w:szCs w:val="23"/>
        </w:rPr>
        <w:t>710</w:t>
      </w:r>
      <w:r w:rsidR="002941BA">
        <w:rPr>
          <w:sz w:val="23"/>
          <w:szCs w:val="23"/>
        </w:rPr>
        <w:t>-</w:t>
      </w:r>
      <w:r>
        <w:rPr>
          <w:sz w:val="23"/>
          <w:szCs w:val="23"/>
        </w:rPr>
        <w:t>7845</w:t>
      </w:r>
      <w:r w:rsidR="00453339">
        <w:rPr>
          <w:sz w:val="23"/>
          <w:szCs w:val="23"/>
        </w:rPr>
        <w:t>,</w:t>
      </w:r>
      <w:r>
        <w:rPr>
          <w:sz w:val="23"/>
          <w:szCs w:val="23"/>
        </w:rPr>
        <w:t xml:space="preserve"> joseph_stubenrauch@baylor.edu</w:t>
      </w:r>
    </w:p>
    <w:p w:rsidR="00453339" w:rsidRDefault="00453339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002DA3" w:rsidRDefault="00002DA3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1E4A48" w:rsidRPr="001E4A48" w:rsidRDefault="001E4A48">
      <w:pPr>
        <w:widowControl w:val="0"/>
        <w:overflowPunct w:val="0"/>
        <w:autoSpaceDE w:val="0"/>
        <w:textAlignment w:val="baseline"/>
        <w:rPr>
          <w:b/>
          <w:smallCaps/>
          <w:sz w:val="23"/>
          <w:szCs w:val="23"/>
        </w:rPr>
      </w:pPr>
      <w:r w:rsidRPr="001E4A48">
        <w:rPr>
          <w:b/>
          <w:smallCaps/>
          <w:sz w:val="23"/>
          <w:szCs w:val="23"/>
        </w:rPr>
        <w:t>Employment</w:t>
      </w:r>
    </w:p>
    <w:p w:rsidR="001E4A48" w:rsidRDefault="001E4A48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1E4A48" w:rsidRDefault="001E4A48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  <w:r>
        <w:rPr>
          <w:sz w:val="23"/>
          <w:szCs w:val="23"/>
        </w:rPr>
        <w:tab/>
        <w:t>Assistant Professor, Baylor University.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9D3FD6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(2011- Present)</w:t>
      </w:r>
    </w:p>
    <w:p w:rsidR="001E4A48" w:rsidRDefault="001E4A48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1E4A48" w:rsidRPr="005D1275" w:rsidRDefault="001E4A48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6920E1" w:rsidRPr="005D1275" w:rsidRDefault="001E4A48">
      <w:pPr>
        <w:widowControl w:val="0"/>
        <w:overflowPunct w:val="0"/>
        <w:autoSpaceDE w:val="0"/>
        <w:textAlignment w:val="baseline"/>
        <w:rPr>
          <w:b/>
          <w:sz w:val="23"/>
          <w:szCs w:val="23"/>
        </w:rPr>
      </w:pPr>
      <w:r w:rsidRPr="001E4A48">
        <w:rPr>
          <w:b/>
          <w:smallCaps/>
          <w:sz w:val="23"/>
          <w:szCs w:val="23"/>
        </w:rPr>
        <w:t>Education</w:t>
      </w:r>
    </w:p>
    <w:p w:rsidR="00831B75" w:rsidRDefault="00831B75" w:rsidP="008A35FA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BE5AA5" w:rsidRDefault="00BE5AA5" w:rsidP="00BE5AA5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 w:rsidRPr="005D1275">
        <w:rPr>
          <w:sz w:val="23"/>
          <w:szCs w:val="23"/>
        </w:rPr>
        <w:t xml:space="preserve">Ph.D., </w:t>
      </w:r>
      <w:r w:rsidR="006D789F">
        <w:rPr>
          <w:sz w:val="23"/>
          <w:szCs w:val="23"/>
        </w:rPr>
        <w:t xml:space="preserve">British History, </w:t>
      </w:r>
      <w:r w:rsidRPr="005D1275">
        <w:rPr>
          <w:sz w:val="23"/>
          <w:szCs w:val="23"/>
        </w:rPr>
        <w:t>I</w:t>
      </w:r>
      <w:r>
        <w:rPr>
          <w:sz w:val="23"/>
          <w:szCs w:val="23"/>
        </w:rPr>
        <w:t>ndiana University.</w:t>
      </w:r>
      <w:r>
        <w:rPr>
          <w:sz w:val="23"/>
          <w:szCs w:val="23"/>
        </w:rPr>
        <w:tab/>
      </w:r>
      <w:r w:rsidR="00C80368">
        <w:rPr>
          <w:sz w:val="23"/>
          <w:szCs w:val="23"/>
        </w:rPr>
        <w:tab/>
      </w:r>
      <w:r w:rsidR="00C80368">
        <w:rPr>
          <w:sz w:val="23"/>
          <w:szCs w:val="23"/>
        </w:rPr>
        <w:tab/>
      </w:r>
      <w:r w:rsidR="00C80368">
        <w:rPr>
          <w:sz w:val="23"/>
          <w:szCs w:val="23"/>
        </w:rPr>
        <w:tab/>
      </w:r>
      <w:r w:rsidR="001E4A48">
        <w:rPr>
          <w:sz w:val="23"/>
          <w:szCs w:val="23"/>
        </w:rPr>
        <w:tab/>
      </w:r>
      <w:r>
        <w:rPr>
          <w:sz w:val="23"/>
          <w:szCs w:val="23"/>
        </w:rPr>
        <w:t>(2011)</w:t>
      </w:r>
    </w:p>
    <w:p w:rsidR="004146C6" w:rsidRDefault="004146C6" w:rsidP="004146C6">
      <w:pPr>
        <w:widowControl w:val="0"/>
        <w:overflowPunct w:val="0"/>
        <w:autoSpaceDE w:val="0"/>
        <w:ind w:left="1440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Dissertation: </w:t>
      </w:r>
      <w:r w:rsidR="00544EEA">
        <w:rPr>
          <w:sz w:val="23"/>
          <w:szCs w:val="23"/>
        </w:rPr>
        <w:t>“</w:t>
      </w:r>
      <w:r w:rsidRPr="004146C6">
        <w:rPr>
          <w:sz w:val="23"/>
          <w:szCs w:val="23"/>
        </w:rPr>
        <w:t xml:space="preserve">Faith in Goods: Evangelicalism, Materiality, and Consumer </w:t>
      </w:r>
    </w:p>
    <w:p w:rsidR="004146C6" w:rsidRPr="004146C6" w:rsidRDefault="004146C6" w:rsidP="004146C6">
      <w:pPr>
        <w:widowControl w:val="0"/>
        <w:overflowPunct w:val="0"/>
        <w:autoSpaceDE w:val="0"/>
        <w:ind w:left="1440" w:firstLine="720"/>
        <w:textAlignment w:val="baseline"/>
        <w:rPr>
          <w:sz w:val="23"/>
          <w:szCs w:val="23"/>
        </w:rPr>
      </w:pPr>
      <w:r w:rsidRPr="004146C6">
        <w:rPr>
          <w:sz w:val="23"/>
          <w:szCs w:val="23"/>
        </w:rPr>
        <w:t>Culture in Nineteenth-Century Britain.</w:t>
      </w:r>
      <w:r w:rsidR="00544EEA">
        <w:rPr>
          <w:sz w:val="23"/>
          <w:szCs w:val="23"/>
        </w:rPr>
        <w:t>”</w:t>
      </w:r>
    </w:p>
    <w:p w:rsidR="00BE5AA5" w:rsidRDefault="00BE5AA5" w:rsidP="00BE5AA5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  <w:r>
        <w:rPr>
          <w:sz w:val="23"/>
          <w:szCs w:val="23"/>
        </w:rPr>
        <w:tab/>
        <w:t>Dissertation Chair: Dror</w:t>
      </w:r>
      <w:r w:rsidR="00085F4D">
        <w:rPr>
          <w:sz w:val="23"/>
          <w:szCs w:val="23"/>
        </w:rPr>
        <w:t xml:space="preserve"> </w:t>
      </w:r>
      <w:r>
        <w:rPr>
          <w:sz w:val="23"/>
          <w:szCs w:val="23"/>
        </w:rPr>
        <w:t>Wahrman</w:t>
      </w:r>
    </w:p>
    <w:p w:rsidR="00BE5AA5" w:rsidRPr="005D1275" w:rsidRDefault="00BE5AA5" w:rsidP="00BE5AA5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  <w:r w:rsidRPr="005D1275">
        <w:rPr>
          <w:sz w:val="23"/>
          <w:szCs w:val="23"/>
        </w:rPr>
        <w:t>M.A., Medieval History, Indiana University.</w:t>
      </w:r>
      <w:r w:rsidR="001E4A48">
        <w:rPr>
          <w:sz w:val="23"/>
          <w:szCs w:val="23"/>
        </w:rPr>
        <w:tab/>
      </w:r>
      <w:r w:rsidR="001E4A48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1E4A48">
        <w:rPr>
          <w:sz w:val="23"/>
          <w:szCs w:val="23"/>
        </w:rPr>
        <w:tab/>
      </w:r>
      <w:r>
        <w:rPr>
          <w:sz w:val="23"/>
          <w:szCs w:val="23"/>
        </w:rPr>
        <w:t>(2003)</w:t>
      </w:r>
    </w:p>
    <w:p w:rsidR="00BE5AA5" w:rsidRDefault="00BE5AA5" w:rsidP="00BE5AA5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 w:rsidRPr="005D1275">
        <w:rPr>
          <w:sz w:val="23"/>
          <w:szCs w:val="23"/>
        </w:rPr>
        <w:t>B</w:t>
      </w:r>
      <w:r>
        <w:rPr>
          <w:sz w:val="23"/>
          <w:szCs w:val="23"/>
        </w:rPr>
        <w:t xml:space="preserve">.A., Classical Studies, </w:t>
      </w:r>
      <w:r w:rsidR="00323ED8">
        <w:rPr>
          <w:sz w:val="23"/>
          <w:szCs w:val="23"/>
        </w:rPr>
        <w:t xml:space="preserve">Honors, </w:t>
      </w:r>
      <w:r w:rsidRPr="005D1275">
        <w:rPr>
          <w:sz w:val="23"/>
          <w:szCs w:val="23"/>
        </w:rPr>
        <w:t>Calvin College.</w:t>
      </w:r>
      <w:r w:rsidR="001E4A48">
        <w:rPr>
          <w:sz w:val="23"/>
          <w:szCs w:val="23"/>
        </w:rPr>
        <w:tab/>
      </w:r>
      <w:r w:rsidR="001E4A48">
        <w:rPr>
          <w:sz w:val="23"/>
          <w:szCs w:val="23"/>
        </w:rPr>
        <w:tab/>
      </w:r>
      <w:r w:rsidR="001E4A48">
        <w:rPr>
          <w:sz w:val="23"/>
          <w:szCs w:val="23"/>
        </w:rPr>
        <w:tab/>
      </w:r>
      <w:r w:rsidR="001E4A48">
        <w:rPr>
          <w:sz w:val="23"/>
          <w:szCs w:val="23"/>
        </w:rPr>
        <w:tab/>
        <w:t>(</w:t>
      </w:r>
      <w:r>
        <w:rPr>
          <w:sz w:val="23"/>
          <w:szCs w:val="23"/>
        </w:rPr>
        <w:t>2001)</w:t>
      </w:r>
    </w:p>
    <w:p w:rsidR="00002DA3" w:rsidRPr="005D1275" w:rsidRDefault="00002DA3" w:rsidP="008A35FA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002DA3" w:rsidRPr="005D1275" w:rsidRDefault="00002DA3">
      <w:pPr>
        <w:widowControl w:val="0"/>
        <w:overflowPunct w:val="0"/>
        <w:autoSpaceDE w:val="0"/>
        <w:textAlignment w:val="baseline"/>
        <w:rPr>
          <w:b/>
          <w:sz w:val="23"/>
          <w:szCs w:val="23"/>
          <w:u w:val="single"/>
        </w:rPr>
      </w:pPr>
    </w:p>
    <w:p w:rsidR="005F657D" w:rsidRPr="001E4A48" w:rsidRDefault="004146C6">
      <w:pPr>
        <w:widowControl w:val="0"/>
        <w:overflowPunct w:val="0"/>
        <w:autoSpaceDE w:val="0"/>
        <w:textAlignment w:val="baseline"/>
        <w:rPr>
          <w:b/>
          <w:smallCaps/>
          <w:sz w:val="19"/>
          <w:szCs w:val="19"/>
        </w:rPr>
      </w:pPr>
      <w:r>
        <w:rPr>
          <w:b/>
          <w:smallCaps/>
          <w:sz w:val="23"/>
          <w:szCs w:val="23"/>
        </w:rPr>
        <w:t>Book Projects in Progress</w:t>
      </w:r>
    </w:p>
    <w:p w:rsidR="008A35FA" w:rsidRPr="005D1275" w:rsidRDefault="008A35FA">
      <w:pPr>
        <w:widowControl w:val="0"/>
        <w:overflowPunct w:val="0"/>
        <w:autoSpaceDE w:val="0"/>
        <w:textAlignment w:val="baseline"/>
        <w:rPr>
          <w:b/>
          <w:sz w:val="19"/>
          <w:szCs w:val="19"/>
        </w:rPr>
      </w:pPr>
    </w:p>
    <w:p w:rsidR="008A35FA" w:rsidRDefault="004146C6" w:rsidP="008A35FA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 w:rsidRPr="004146C6">
        <w:rPr>
          <w:i/>
          <w:sz w:val="23"/>
          <w:szCs w:val="23"/>
        </w:rPr>
        <w:t>The Evangelical Age of I</w:t>
      </w:r>
      <w:r w:rsidR="00E83A54">
        <w:rPr>
          <w:i/>
          <w:sz w:val="23"/>
          <w:szCs w:val="23"/>
        </w:rPr>
        <w:t>ngenuity</w:t>
      </w:r>
      <w:r w:rsidRPr="004146C6">
        <w:rPr>
          <w:i/>
          <w:sz w:val="23"/>
          <w:szCs w:val="23"/>
        </w:rPr>
        <w:t xml:space="preserve"> in </w:t>
      </w:r>
      <w:r w:rsidR="00A5165E">
        <w:rPr>
          <w:i/>
          <w:sz w:val="23"/>
          <w:szCs w:val="23"/>
        </w:rPr>
        <w:t xml:space="preserve">Industrial </w:t>
      </w:r>
      <w:r w:rsidRPr="004146C6">
        <w:rPr>
          <w:i/>
          <w:sz w:val="23"/>
          <w:szCs w:val="23"/>
        </w:rPr>
        <w:t>Britain</w:t>
      </w:r>
    </w:p>
    <w:p w:rsidR="00A5165E" w:rsidRPr="00A5165E" w:rsidRDefault="00A5165E" w:rsidP="00A5165E">
      <w:pPr>
        <w:widowControl w:val="0"/>
        <w:overflowPunct w:val="0"/>
        <w:autoSpaceDE w:val="0"/>
        <w:ind w:left="1440"/>
        <w:textAlignment w:val="baseline"/>
        <w:rPr>
          <w:sz w:val="23"/>
          <w:szCs w:val="23"/>
        </w:rPr>
      </w:pPr>
      <w:r>
        <w:rPr>
          <w:sz w:val="23"/>
          <w:szCs w:val="23"/>
        </w:rPr>
        <w:t>Manuscript completed and currently</w:t>
      </w:r>
      <w:r w:rsidRPr="00A5165E">
        <w:rPr>
          <w:sz w:val="23"/>
          <w:szCs w:val="23"/>
        </w:rPr>
        <w:t xml:space="preserve"> </w:t>
      </w:r>
      <w:r>
        <w:rPr>
          <w:sz w:val="23"/>
          <w:szCs w:val="23"/>
        </w:rPr>
        <w:t>under</w:t>
      </w:r>
      <w:r w:rsidR="0001658F">
        <w:rPr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 w:rsidRPr="00A5165E">
        <w:rPr>
          <w:sz w:val="23"/>
          <w:szCs w:val="23"/>
        </w:rPr>
        <w:t>eview</w:t>
      </w:r>
      <w:r w:rsidR="00705DE5">
        <w:rPr>
          <w:sz w:val="23"/>
          <w:szCs w:val="23"/>
        </w:rPr>
        <w:t xml:space="preserve"> at Oxford University Press</w:t>
      </w:r>
      <w:r>
        <w:rPr>
          <w:sz w:val="23"/>
          <w:szCs w:val="23"/>
        </w:rPr>
        <w:t>.</w:t>
      </w:r>
      <w:r w:rsidR="0001658F">
        <w:rPr>
          <w:sz w:val="23"/>
          <w:szCs w:val="23"/>
        </w:rPr>
        <w:t xml:space="preserve"> </w:t>
      </w:r>
      <w:r>
        <w:rPr>
          <w:sz w:val="23"/>
          <w:szCs w:val="23"/>
        </w:rPr>
        <w:t>Approximately 110k words in length.</w:t>
      </w:r>
    </w:p>
    <w:p w:rsidR="00A5165E" w:rsidRDefault="00A5165E" w:rsidP="00A5165E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A5165E" w:rsidRPr="00A5165E" w:rsidRDefault="00A5165E" w:rsidP="00A5165E">
      <w:pPr>
        <w:widowControl w:val="0"/>
        <w:overflowPunct w:val="0"/>
        <w:autoSpaceDE w:val="0"/>
        <w:ind w:left="720"/>
        <w:textAlignment w:val="baseline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‘Theirs is the Kingdom’: </w:t>
      </w:r>
      <w:r w:rsidR="00043143">
        <w:rPr>
          <w:i/>
          <w:sz w:val="23"/>
          <w:szCs w:val="23"/>
        </w:rPr>
        <w:t>Poverty and Working-C</w:t>
      </w:r>
      <w:r w:rsidRPr="00A5165E">
        <w:rPr>
          <w:i/>
          <w:sz w:val="23"/>
          <w:szCs w:val="23"/>
        </w:rPr>
        <w:t xml:space="preserve">lass Religion </w:t>
      </w:r>
      <w:r w:rsidR="00047EE4">
        <w:rPr>
          <w:i/>
          <w:sz w:val="23"/>
          <w:szCs w:val="23"/>
        </w:rPr>
        <w:t>during the British Industrial Revolution</w:t>
      </w:r>
    </w:p>
    <w:p w:rsidR="004146C6" w:rsidRPr="00A5165E" w:rsidRDefault="00A5165E" w:rsidP="00A5165E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Early research and writing in progress. </w:t>
      </w:r>
    </w:p>
    <w:p w:rsidR="008C1752" w:rsidRDefault="008C1752" w:rsidP="008C1752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3C4293" w:rsidRDefault="003C4293" w:rsidP="008C1752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8C1752" w:rsidRPr="001E4A48" w:rsidRDefault="008C1752" w:rsidP="008C1752">
      <w:pPr>
        <w:widowControl w:val="0"/>
        <w:overflowPunct w:val="0"/>
        <w:autoSpaceDE w:val="0"/>
        <w:textAlignment w:val="baseline"/>
        <w:rPr>
          <w:b/>
          <w:smallCaps/>
          <w:sz w:val="19"/>
          <w:szCs w:val="19"/>
        </w:rPr>
      </w:pPr>
      <w:r w:rsidRPr="001E4A48">
        <w:rPr>
          <w:b/>
          <w:smallCaps/>
          <w:sz w:val="23"/>
          <w:szCs w:val="23"/>
        </w:rPr>
        <w:t>A</w:t>
      </w:r>
      <w:r w:rsidR="001E4A48" w:rsidRPr="001E4A48">
        <w:rPr>
          <w:b/>
          <w:smallCaps/>
          <w:sz w:val="23"/>
          <w:szCs w:val="23"/>
        </w:rPr>
        <w:t>rticles</w:t>
      </w:r>
    </w:p>
    <w:p w:rsidR="008C1752" w:rsidRDefault="008C1752" w:rsidP="008C1752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2B4EFB" w:rsidRDefault="00544EEA" w:rsidP="005024E5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“</w:t>
      </w:r>
      <w:r w:rsidR="008C1752" w:rsidRPr="003973A6">
        <w:rPr>
          <w:sz w:val="23"/>
          <w:szCs w:val="23"/>
        </w:rPr>
        <w:t>Silent Prea</w:t>
      </w:r>
      <w:r w:rsidR="008C1752">
        <w:rPr>
          <w:sz w:val="23"/>
          <w:szCs w:val="23"/>
        </w:rPr>
        <w:t xml:space="preserve">chers in the Age of Ingenuity: </w:t>
      </w:r>
      <w:r w:rsidR="008C1752" w:rsidRPr="003973A6">
        <w:rPr>
          <w:sz w:val="23"/>
          <w:szCs w:val="23"/>
        </w:rPr>
        <w:t>Faith, Commerce, and Religious Tracts in Early Nineteenth-Century Britain</w:t>
      </w:r>
      <w:r w:rsidR="008C1752">
        <w:rPr>
          <w:sz w:val="23"/>
          <w:szCs w:val="23"/>
        </w:rPr>
        <w:t>,</w:t>
      </w:r>
      <w:r>
        <w:rPr>
          <w:sz w:val="23"/>
          <w:szCs w:val="23"/>
        </w:rPr>
        <w:t>”</w:t>
      </w:r>
      <w:r w:rsidR="008C1752">
        <w:rPr>
          <w:sz w:val="23"/>
          <w:szCs w:val="23"/>
        </w:rPr>
        <w:t xml:space="preserve"> </w:t>
      </w:r>
      <w:r w:rsidR="008C1752" w:rsidRPr="002B4EFB">
        <w:rPr>
          <w:i/>
          <w:sz w:val="23"/>
          <w:szCs w:val="23"/>
        </w:rPr>
        <w:t>Church History</w:t>
      </w:r>
      <w:r w:rsidR="009D3FD6" w:rsidRPr="002B4EFB">
        <w:rPr>
          <w:i/>
          <w:sz w:val="23"/>
          <w:szCs w:val="23"/>
        </w:rPr>
        <w:t xml:space="preserve"> </w:t>
      </w:r>
      <w:r w:rsidR="0068073C" w:rsidRPr="009D3FD6">
        <w:rPr>
          <w:sz w:val="23"/>
          <w:szCs w:val="23"/>
        </w:rPr>
        <w:t>80</w:t>
      </w:r>
      <w:r w:rsidR="0068073C">
        <w:rPr>
          <w:sz w:val="23"/>
          <w:szCs w:val="23"/>
        </w:rPr>
        <w:t xml:space="preserve">:3 </w:t>
      </w:r>
      <w:r w:rsidR="005024E5">
        <w:rPr>
          <w:sz w:val="23"/>
          <w:szCs w:val="23"/>
        </w:rPr>
        <w:t>(2011)</w:t>
      </w:r>
      <w:r w:rsidR="0068073C">
        <w:rPr>
          <w:sz w:val="23"/>
          <w:szCs w:val="23"/>
        </w:rPr>
        <w:t>, 547-574</w:t>
      </w:r>
      <w:r w:rsidR="005024E5">
        <w:rPr>
          <w:sz w:val="23"/>
          <w:szCs w:val="23"/>
        </w:rPr>
        <w:t>.</w:t>
      </w:r>
      <w:r w:rsidR="009869A6">
        <w:rPr>
          <w:sz w:val="23"/>
          <w:szCs w:val="23"/>
        </w:rPr>
        <w:t xml:space="preserve"> </w:t>
      </w:r>
    </w:p>
    <w:p w:rsidR="002B4EFB" w:rsidRDefault="002B4EFB" w:rsidP="002B4EFB">
      <w:pPr>
        <w:widowControl w:val="0"/>
        <w:overflowPunct w:val="0"/>
        <w:autoSpaceDE w:val="0"/>
        <w:ind w:left="1440"/>
        <w:textAlignment w:val="baseline"/>
        <w:rPr>
          <w:sz w:val="23"/>
          <w:szCs w:val="23"/>
        </w:rPr>
      </w:pPr>
    </w:p>
    <w:p w:rsidR="008C1752" w:rsidRDefault="002B4EFB" w:rsidP="002B4EFB">
      <w:pPr>
        <w:widowControl w:val="0"/>
        <w:overflowPunct w:val="0"/>
        <w:autoSpaceDE w:val="0"/>
        <w:ind w:left="1440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Church History is the flagship journal for scholars of Christian religious history in North America and is the official publication of the American Society of Church History. The ASCH </w:t>
      </w:r>
      <w:r w:rsidR="005024E5">
        <w:rPr>
          <w:sz w:val="23"/>
          <w:szCs w:val="23"/>
        </w:rPr>
        <w:t xml:space="preserve">awarded this article </w:t>
      </w:r>
      <w:r w:rsidR="009869A6">
        <w:rPr>
          <w:sz w:val="23"/>
          <w:szCs w:val="23"/>
        </w:rPr>
        <w:t xml:space="preserve">the </w:t>
      </w:r>
      <w:r>
        <w:rPr>
          <w:sz w:val="23"/>
          <w:szCs w:val="23"/>
        </w:rPr>
        <w:t xml:space="preserve">2011 </w:t>
      </w:r>
      <w:r w:rsidR="009869A6" w:rsidRPr="009869A6">
        <w:rPr>
          <w:i/>
          <w:sz w:val="23"/>
          <w:szCs w:val="23"/>
        </w:rPr>
        <w:t>Sidney E. Mead Prize</w:t>
      </w:r>
      <w:r>
        <w:rPr>
          <w:sz w:val="23"/>
          <w:szCs w:val="23"/>
        </w:rPr>
        <w:t xml:space="preserve"> for the best article based on dissertation research.</w:t>
      </w:r>
    </w:p>
    <w:p w:rsidR="00E863AB" w:rsidRDefault="00E863AB" w:rsidP="009446F0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3C4293" w:rsidRDefault="003C4293" w:rsidP="009446F0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9446F0" w:rsidRPr="009446F0" w:rsidRDefault="009446F0" w:rsidP="009446F0">
      <w:pPr>
        <w:widowControl w:val="0"/>
        <w:overflowPunct w:val="0"/>
        <w:autoSpaceDE w:val="0"/>
        <w:textAlignment w:val="baseline"/>
        <w:rPr>
          <w:b/>
          <w:smallCaps/>
          <w:sz w:val="23"/>
          <w:szCs w:val="23"/>
        </w:rPr>
      </w:pPr>
      <w:r w:rsidRPr="009446F0">
        <w:rPr>
          <w:b/>
          <w:smallCaps/>
          <w:sz w:val="23"/>
          <w:szCs w:val="23"/>
        </w:rPr>
        <w:t>Reviews</w:t>
      </w:r>
    </w:p>
    <w:p w:rsidR="009D2F5F" w:rsidRDefault="009D2F5F" w:rsidP="00CF33F0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4B4206" w:rsidRPr="004B4206" w:rsidRDefault="004B4206" w:rsidP="00CF33F0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“</w:t>
      </w:r>
      <w:r w:rsidRPr="004B4206">
        <w:rPr>
          <w:sz w:val="23"/>
          <w:szCs w:val="23"/>
        </w:rPr>
        <w:t>Visionary Religion and Radicalism in Early Industrial Engla</w:t>
      </w:r>
      <w:r>
        <w:rPr>
          <w:sz w:val="23"/>
          <w:szCs w:val="23"/>
        </w:rPr>
        <w:t>nd: From Southcott to Socialism, b</w:t>
      </w:r>
      <w:r w:rsidRPr="004B4206">
        <w:rPr>
          <w:sz w:val="23"/>
          <w:szCs w:val="23"/>
        </w:rPr>
        <w:t>y Philip Lockley</w:t>
      </w:r>
      <w:r>
        <w:rPr>
          <w:sz w:val="23"/>
          <w:szCs w:val="23"/>
        </w:rPr>
        <w:t xml:space="preserve">,” </w:t>
      </w:r>
      <w:r w:rsidR="002120B6">
        <w:rPr>
          <w:i/>
          <w:sz w:val="23"/>
          <w:szCs w:val="23"/>
        </w:rPr>
        <w:t>Church History</w:t>
      </w:r>
      <w:r w:rsidR="002120B6">
        <w:rPr>
          <w:sz w:val="23"/>
          <w:szCs w:val="23"/>
        </w:rPr>
        <w:t xml:space="preserve"> </w:t>
      </w:r>
      <w:r w:rsidR="002120B6" w:rsidRPr="002120B6">
        <w:rPr>
          <w:sz w:val="23"/>
          <w:szCs w:val="23"/>
        </w:rPr>
        <w:t>83</w:t>
      </w:r>
      <w:r w:rsidR="002120B6">
        <w:rPr>
          <w:sz w:val="23"/>
          <w:szCs w:val="23"/>
        </w:rPr>
        <w:t>:4</w:t>
      </w:r>
      <w:r w:rsidR="002120B6" w:rsidRPr="002120B6">
        <w:rPr>
          <w:sz w:val="23"/>
          <w:szCs w:val="23"/>
        </w:rPr>
        <w:t xml:space="preserve"> </w:t>
      </w:r>
      <w:r w:rsidR="002120B6">
        <w:rPr>
          <w:sz w:val="23"/>
          <w:szCs w:val="23"/>
        </w:rPr>
        <w:t>(</w:t>
      </w:r>
      <w:r w:rsidR="002120B6" w:rsidRPr="002120B6">
        <w:rPr>
          <w:sz w:val="23"/>
          <w:szCs w:val="23"/>
        </w:rPr>
        <w:t>December 2014</w:t>
      </w:r>
      <w:r w:rsidR="002120B6">
        <w:rPr>
          <w:sz w:val="23"/>
          <w:szCs w:val="23"/>
        </w:rPr>
        <w:t xml:space="preserve">), </w:t>
      </w:r>
      <w:r w:rsidR="002120B6" w:rsidRPr="002120B6">
        <w:rPr>
          <w:sz w:val="23"/>
          <w:szCs w:val="23"/>
        </w:rPr>
        <w:t>1056-1058</w:t>
      </w:r>
      <w:r w:rsidR="002120B6">
        <w:rPr>
          <w:sz w:val="23"/>
          <w:szCs w:val="23"/>
        </w:rPr>
        <w:t>.</w:t>
      </w:r>
    </w:p>
    <w:p w:rsidR="004B4206" w:rsidRDefault="004B4206" w:rsidP="00CF33F0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E86EA2" w:rsidRPr="00E86EA2" w:rsidRDefault="00E86EA2" w:rsidP="00CF33F0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“Evangelicalism and Fundamentalism in the United Kingdom during the Twentieth Century, eds. David Bebbington and David Ceri Jones,” </w:t>
      </w:r>
      <w:r>
        <w:rPr>
          <w:i/>
          <w:sz w:val="23"/>
          <w:szCs w:val="23"/>
        </w:rPr>
        <w:t>Journal of British Studies</w:t>
      </w:r>
      <w:r>
        <w:rPr>
          <w:sz w:val="23"/>
          <w:szCs w:val="23"/>
        </w:rPr>
        <w:t>.</w:t>
      </w:r>
      <w:r w:rsidR="00A5165E">
        <w:rPr>
          <w:sz w:val="23"/>
          <w:szCs w:val="23"/>
        </w:rPr>
        <w:t xml:space="preserve"> </w:t>
      </w:r>
      <w:r w:rsidR="003C4293" w:rsidRPr="003C4293">
        <w:rPr>
          <w:sz w:val="23"/>
          <w:szCs w:val="23"/>
        </w:rPr>
        <w:t>53</w:t>
      </w:r>
      <w:r w:rsidR="003C4293">
        <w:rPr>
          <w:sz w:val="23"/>
          <w:szCs w:val="23"/>
        </w:rPr>
        <w:t>:4</w:t>
      </w:r>
      <w:r w:rsidR="003C4293" w:rsidRPr="003C4293">
        <w:rPr>
          <w:sz w:val="23"/>
          <w:szCs w:val="23"/>
        </w:rPr>
        <w:t xml:space="preserve"> </w:t>
      </w:r>
      <w:r w:rsidR="003C4293">
        <w:rPr>
          <w:sz w:val="23"/>
          <w:szCs w:val="23"/>
        </w:rPr>
        <w:t>(</w:t>
      </w:r>
      <w:r w:rsidR="003C4293" w:rsidRPr="003C4293">
        <w:rPr>
          <w:sz w:val="23"/>
          <w:szCs w:val="23"/>
        </w:rPr>
        <w:t>2014</w:t>
      </w:r>
      <w:r w:rsidR="003C4293">
        <w:rPr>
          <w:sz w:val="23"/>
          <w:szCs w:val="23"/>
        </w:rPr>
        <w:t>)</w:t>
      </w:r>
      <w:r w:rsidR="003C4293" w:rsidRPr="003C4293">
        <w:rPr>
          <w:sz w:val="23"/>
          <w:szCs w:val="23"/>
        </w:rPr>
        <w:t>, 1069-107</w:t>
      </w:r>
      <w:r w:rsidR="00FC2CCC">
        <w:rPr>
          <w:sz w:val="23"/>
          <w:szCs w:val="23"/>
        </w:rPr>
        <w:t>1</w:t>
      </w:r>
      <w:r w:rsidR="003C4293">
        <w:rPr>
          <w:sz w:val="23"/>
          <w:szCs w:val="23"/>
        </w:rPr>
        <w:t>.</w:t>
      </w:r>
    </w:p>
    <w:p w:rsidR="00E86EA2" w:rsidRDefault="00E86EA2" w:rsidP="00CF33F0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9D2F5F" w:rsidRPr="009D2F5F" w:rsidRDefault="00544EEA" w:rsidP="00D84FBA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“</w:t>
      </w:r>
      <w:r w:rsidR="009D2F5F">
        <w:rPr>
          <w:sz w:val="23"/>
          <w:szCs w:val="23"/>
        </w:rPr>
        <w:t>Wilberforce: Family and Friends, by Anne Stott,</w:t>
      </w:r>
      <w:r>
        <w:rPr>
          <w:sz w:val="23"/>
          <w:szCs w:val="23"/>
        </w:rPr>
        <w:t>”</w:t>
      </w:r>
      <w:r w:rsidR="009D2F5F">
        <w:rPr>
          <w:sz w:val="23"/>
          <w:szCs w:val="23"/>
        </w:rPr>
        <w:t xml:space="preserve"> </w:t>
      </w:r>
      <w:r w:rsidR="009D2F5F">
        <w:rPr>
          <w:i/>
          <w:sz w:val="23"/>
          <w:szCs w:val="23"/>
        </w:rPr>
        <w:t>Journal of Modern History</w:t>
      </w:r>
      <w:r w:rsidR="00D84FBA">
        <w:rPr>
          <w:sz w:val="23"/>
          <w:szCs w:val="23"/>
        </w:rPr>
        <w:t xml:space="preserve"> </w:t>
      </w:r>
      <w:bookmarkStart w:id="0" w:name="_GoBack"/>
      <w:bookmarkEnd w:id="0"/>
      <w:r w:rsidR="00D84FBA" w:rsidRPr="00D84FBA">
        <w:rPr>
          <w:sz w:val="23"/>
          <w:szCs w:val="23"/>
        </w:rPr>
        <w:t>86</w:t>
      </w:r>
      <w:r w:rsidR="00D84FBA">
        <w:rPr>
          <w:sz w:val="23"/>
          <w:szCs w:val="23"/>
        </w:rPr>
        <w:t>:</w:t>
      </w:r>
      <w:r w:rsidR="00D84FBA" w:rsidRPr="00D84FBA">
        <w:rPr>
          <w:sz w:val="23"/>
          <w:szCs w:val="23"/>
        </w:rPr>
        <w:t>2 (June 2014)</w:t>
      </w:r>
      <w:r w:rsidR="00D84FBA">
        <w:rPr>
          <w:sz w:val="23"/>
          <w:szCs w:val="23"/>
        </w:rPr>
        <w:t>, 438-</w:t>
      </w:r>
      <w:r w:rsidR="00D84FBA" w:rsidRPr="00D84FBA">
        <w:rPr>
          <w:sz w:val="23"/>
          <w:szCs w:val="23"/>
        </w:rPr>
        <w:t>439</w:t>
      </w:r>
      <w:r w:rsidR="00D84FBA">
        <w:rPr>
          <w:sz w:val="23"/>
          <w:szCs w:val="23"/>
        </w:rPr>
        <w:t>.</w:t>
      </w:r>
    </w:p>
    <w:p w:rsidR="009D2F5F" w:rsidRDefault="009D2F5F" w:rsidP="00CF33F0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784C4D" w:rsidRPr="00784C4D" w:rsidRDefault="00544EEA" w:rsidP="00784C4D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“</w:t>
      </w:r>
      <w:r w:rsidR="00784C4D" w:rsidRPr="00784C4D">
        <w:rPr>
          <w:sz w:val="23"/>
          <w:szCs w:val="23"/>
        </w:rPr>
        <w:t>The Oxford Movement: Europe and the Wider World, 1830-1930, eds. Stewart Brown and Peter Nockles,</w:t>
      </w:r>
      <w:r>
        <w:rPr>
          <w:sz w:val="23"/>
          <w:szCs w:val="23"/>
        </w:rPr>
        <w:t>”</w:t>
      </w:r>
      <w:r w:rsidR="00784C4D" w:rsidRPr="00784C4D">
        <w:rPr>
          <w:sz w:val="23"/>
          <w:szCs w:val="23"/>
        </w:rPr>
        <w:t xml:space="preserve"> </w:t>
      </w:r>
      <w:r w:rsidR="00784C4D" w:rsidRPr="00784C4D">
        <w:rPr>
          <w:i/>
          <w:sz w:val="23"/>
          <w:szCs w:val="23"/>
        </w:rPr>
        <w:t>Journal of British Studies</w:t>
      </w:r>
      <w:r w:rsidR="00784C4D">
        <w:rPr>
          <w:sz w:val="23"/>
          <w:szCs w:val="23"/>
        </w:rPr>
        <w:t xml:space="preserve"> 52:4 (2013), 1087-</w:t>
      </w:r>
      <w:r w:rsidR="00784C4D" w:rsidRPr="00784C4D">
        <w:rPr>
          <w:sz w:val="23"/>
          <w:szCs w:val="23"/>
        </w:rPr>
        <w:t>1088</w:t>
      </w:r>
      <w:r w:rsidR="00784C4D">
        <w:rPr>
          <w:sz w:val="23"/>
          <w:szCs w:val="23"/>
        </w:rPr>
        <w:t>.</w:t>
      </w:r>
      <w:r w:rsidR="00784C4D" w:rsidRPr="00784C4D">
        <w:rPr>
          <w:sz w:val="23"/>
          <w:szCs w:val="23"/>
        </w:rPr>
        <w:t xml:space="preserve"> </w:t>
      </w:r>
    </w:p>
    <w:p w:rsidR="00784C4D" w:rsidRDefault="00784C4D" w:rsidP="00CF33F0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9446F0" w:rsidRPr="00CF33F0" w:rsidRDefault="00544EEA" w:rsidP="00CF33F0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“</w:t>
      </w:r>
      <w:r w:rsidR="00CF33F0">
        <w:rPr>
          <w:sz w:val="23"/>
          <w:szCs w:val="23"/>
        </w:rPr>
        <w:t>Modern Spiritualism and the Church of England, 1850-1939, by Georgina Byrne,</w:t>
      </w:r>
      <w:r>
        <w:rPr>
          <w:sz w:val="23"/>
          <w:szCs w:val="23"/>
        </w:rPr>
        <w:t>”</w:t>
      </w:r>
      <w:r w:rsidR="00CF33F0">
        <w:rPr>
          <w:sz w:val="23"/>
          <w:szCs w:val="23"/>
        </w:rPr>
        <w:t xml:space="preserve"> </w:t>
      </w:r>
      <w:r w:rsidR="00CF33F0" w:rsidRPr="00CF33F0">
        <w:rPr>
          <w:i/>
          <w:sz w:val="23"/>
          <w:szCs w:val="23"/>
        </w:rPr>
        <w:t>Victorian Studies</w:t>
      </w:r>
      <w:r w:rsidR="00CF33F0">
        <w:rPr>
          <w:sz w:val="23"/>
          <w:szCs w:val="23"/>
        </w:rPr>
        <w:t xml:space="preserve"> 52:</w:t>
      </w:r>
      <w:r w:rsidR="004B67D1">
        <w:rPr>
          <w:sz w:val="23"/>
          <w:szCs w:val="23"/>
        </w:rPr>
        <w:t>2 (2012), 339-341.</w:t>
      </w:r>
    </w:p>
    <w:p w:rsidR="00744805" w:rsidRDefault="00744805" w:rsidP="008A35FA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E863AB" w:rsidRDefault="00E863AB" w:rsidP="008A35FA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8A35FA" w:rsidRPr="00BF1091" w:rsidRDefault="00BF1091" w:rsidP="008A35FA">
      <w:pPr>
        <w:widowControl w:val="0"/>
        <w:overflowPunct w:val="0"/>
        <w:autoSpaceDE w:val="0"/>
        <w:textAlignment w:val="baseline"/>
        <w:rPr>
          <w:b/>
          <w:smallCaps/>
          <w:sz w:val="19"/>
          <w:szCs w:val="19"/>
        </w:rPr>
      </w:pPr>
      <w:r w:rsidRPr="00BF1091">
        <w:rPr>
          <w:b/>
          <w:smallCaps/>
          <w:sz w:val="23"/>
          <w:szCs w:val="23"/>
        </w:rPr>
        <w:t>Presentations</w:t>
      </w:r>
    </w:p>
    <w:p w:rsidR="0062111D" w:rsidRDefault="0062111D" w:rsidP="00A91C94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FF57B2" w:rsidRDefault="00263BC3" w:rsidP="00263BC3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 w:rsidRPr="00263BC3">
        <w:rPr>
          <w:sz w:val="23"/>
          <w:szCs w:val="23"/>
        </w:rPr>
        <w:t>“‘Pleasing Testimony’: Examining Plebeian Readers’ Response to Religious Tracts, 1820-1840</w:t>
      </w:r>
      <w:r>
        <w:rPr>
          <w:sz w:val="23"/>
          <w:szCs w:val="23"/>
        </w:rPr>
        <w:t>,” North American Conference on British Studies, November 2014.</w:t>
      </w:r>
    </w:p>
    <w:p w:rsidR="00FF57B2" w:rsidRDefault="00FF57B2" w:rsidP="00A91C94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2A20C5" w:rsidRPr="002A20C5" w:rsidRDefault="00544EEA" w:rsidP="002A20C5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“</w:t>
      </w:r>
      <w:r w:rsidR="002A20C5" w:rsidRPr="002A20C5">
        <w:rPr>
          <w:sz w:val="23"/>
          <w:szCs w:val="23"/>
        </w:rPr>
        <w:t xml:space="preserve">'Pleasing Testimony': Examining the Lower-Class Response to Religious Tracts, </w:t>
      </w:r>
    </w:p>
    <w:p w:rsidR="002A20C5" w:rsidRDefault="002A20C5" w:rsidP="002A20C5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 w:rsidRPr="002A20C5">
        <w:rPr>
          <w:sz w:val="23"/>
          <w:szCs w:val="23"/>
        </w:rPr>
        <w:t>1800-1850</w:t>
      </w:r>
      <w:r>
        <w:rPr>
          <w:sz w:val="23"/>
          <w:szCs w:val="23"/>
        </w:rPr>
        <w:t>,</w:t>
      </w:r>
      <w:r w:rsidR="00544EEA">
        <w:rPr>
          <w:sz w:val="23"/>
          <w:szCs w:val="23"/>
        </w:rPr>
        <w:t>”</w:t>
      </w:r>
      <w:r>
        <w:rPr>
          <w:sz w:val="23"/>
          <w:szCs w:val="23"/>
        </w:rPr>
        <w:t xml:space="preserve"> North American Victori</w:t>
      </w:r>
      <w:r w:rsidR="004146C6">
        <w:rPr>
          <w:sz w:val="23"/>
          <w:szCs w:val="23"/>
        </w:rPr>
        <w:t>an Studies Association, October</w:t>
      </w:r>
      <w:r>
        <w:rPr>
          <w:sz w:val="23"/>
          <w:szCs w:val="23"/>
        </w:rPr>
        <w:t xml:space="preserve"> 2013.</w:t>
      </w:r>
    </w:p>
    <w:p w:rsidR="002A20C5" w:rsidRDefault="002A20C5" w:rsidP="00A96514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A96514" w:rsidRDefault="00544EEA" w:rsidP="00A96514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“</w:t>
      </w:r>
      <w:r w:rsidR="00A96514">
        <w:rPr>
          <w:sz w:val="23"/>
          <w:szCs w:val="23"/>
        </w:rPr>
        <w:t>Sentimentalism, Souvenirs, and the Picturesque in Early Nineteenth-Century Evangelicalism,</w:t>
      </w:r>
      <w:r>
        <w:rPr>
          <w:sz w:val="23"/>
          <w:szCs w:val="23"/>
        </w:rPr>
        <w:t>”</w:t>
      </w:r>
      <w:r w:rsidR="00A96514">
        <w:rPr>
          <w:sz w:val="23"/>
          <w:szCs w:val="23"/>
        </w:rPr>
        <w:t xml:space="preserve"> Nineteenth-Century Research Seminar, Baylor University, September 2013.</w:t>
      </w:r>
    </w:p>
    <w:p w:rsidR="00A96514" w:rsidRDefault="00A96514" w:rsidP="00A91C94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AB1842" w:rsidRDefault="00544EEA" w:rsidP="00AB1842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“</w:t>
      </w:r>
      <w:r w:rsidR="00AB1842" w:rsidRPr="00AB1842">
        <w:rPr>
          <w:sz w:val="23"/>
          <w:szCs w:val="23"/>
        </w:rPr>
        <w:t>A Woman and Her Watchers: Clergymen, Surge</w:t>
      </w:r>
      <w:r w:rsidR="00AB1842">
        <w:rPr>
          <w:sz w:val="23"/>
          <w:szCs w:val="23"/>
        </w:rPr>
        <w:t xml:space="preserve">ons, and the Uncertainties of a </w:t>
      </w:r>
      <w:r w:rsidR="00AB1842" w:rsidRPr="00AB1842">
        <w:rPr>
          <w:sz w:val="23"/>
          <w:szCs w:val="23"/>
        </w:rPr>
        <w:t xml:space="preserve">Female </w:t>
      </w:r>
      <w:r w:rsidR="00AB1842">
        <w:rPr>
          <w:sz w:val="23"/>
          <w:szCs w:val="23"/>
        </w:rPr>
        <w:t>Charlatan’s Body,</w:t>
      </w:r>
      <w:r>
        <w:rPr>
          <w:sz w:val="23"/>
          <w:szCs w:val="23"/>
        </w:rPr>
        <w:t>”</w:t>
      </w:r>
      <w:r w:rsidR="00AB1842">
        <w:rPr>
          <w:sz w:val="23"/>
          <w:szCs w:val="23"/>
        </w:rPr>
        <w:t xml:space="preserve"> Midwest Victorian Studies Association, April 2013.</w:t>
      </w:r>
    </w:p>
    <w:p w:rsidR="00AB1842" w:rsidRDefault="00AB1842" w:rsidP="00A91C94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445CD6" w:rsidRDefault="00544EEA" w:rsidP="00680811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“</w:t>
      </w:r>
      <w:r w:rsidR="00445CD6" w:rsidRPr="00445CD6">
        <w:rPr>
          <w:sz w:val="23"/>
          <w:szCs w:val="23"/>
        </w:rPr>
        <w:t>The Evangelical Battle for the Cottage Walls in Late Georgian Britain,</w:t>
      </w:r>
      <w:r>
        <w:rPr>
          <w:sz w:val="23"/>
          <w:szCs w:val="23"/>
        </w:rPr>
        <w:t>”</w:t>
      </w:r>
      <w:r w:rsidR="00445CD6" w:rsidRPr="00445CD6">
        <w:rPr>
          <w:sz w:val="23"/>
          <w:szCs w:val="23"/>
        </w:rPr>
        <w:t xml:space="preserve"> Pacific Coast Conference on British Studies, March 2012.</w:t>
      </w:r>
    </w:p>
    <w:p w:rsidR="00445CD6" w:rsidRDefault="00445CD6" w:rsidP="00680811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445CD6" w:rsidRDefault="00544EEA" w:rsidP="00680811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“</w:t>
      </w:r>
      <w:r w:rsidR="0068073C">
        <w:rPr>
          <w:sz w:val="23"/>
          <w:szCs w:val="23"/>
        </w:rPr>
        <w:t>Evangelical Innovations in the Age of Ingenuity,</w:t>
      </w:r>
      <w:r>
        <w:rPr>
          <w:sz w:val="23"/>
          <w:szCs w:val="23"/>
        </w:rPr>
        <w:t>”</w:t>
      </w:r>
      <w:r w:rsidR="0068073C">
        <w:rPr>
          <w:sz w:val="23"/>
          <w:szCs w:val="23"/>
        </w:rPr>
        <w:t xml:space="preserve"> North American Conference on British Studies, November</w:t>
      </w:r>
      <w:r w:rsidR="00445CD6">
        <w:rPr>
          <w:sz w:val="23"/>
          <w:szCs w:val="23"/>
        </w:rPr>
        <w:t xml:space="preserve"> 2011. </w:t>
      </w:r>
    </w:p>
    <w:p w:rsidR="00445CD6" w:rsidRDefault="00445CD6" w:rsidP="00680811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68073C" w:rsidRDefault="00544EEA" w:rsidP="00680811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“</w:t>
      </w:r>
      <w:r w:rsidR="0068073C">
        <w:rPr>
          <w:sz w:val="23"/>
          <w:szCs w:val="23"/>
        </w:rPr>
        <w:t>Evangelical ‘Means’ in the Age of Ingenuity,</w:t>
      </w:r>
      <w:r>
        <w:rPr>
          <w:sz w:val="23"/>
          <w:szCs w:val="23"/>
        </w:rPr>
        <w:t>”</w:t>
      </w:r>
      <w:r w:rsidR="0068073C">
        <w:rPr>
          <w:sz w:val="23"/>
          <w:szCs w:val="23"/>
        </w:rPr>
        <w:t xml:space="preserve"> Institute for Studies of Religion, Evangelicalism in the Nineteenth Century Seminar, Baylor University, October 2011.</w:t>
      </w:r>
    </w:p>
    <w:p w:rsidR="0068073C" w:rsidRDefault="0068073C" w:rsidP="00002DA3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17252E" w:rsidRDefault="00544EEA" w:rsidP="00002DA3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“</w:t>
      </w:r>
      <w:r w:rsidR="0017252E" w:rsidRPr="0062111D">
        <w:rPr>
          <w:sz w:val="23"/>
          <w:szCs w:val="23"/>
        </w:rPr>
        <w:t>Gathering the People in the Palace of Glass: Evangelicals and the Great Exhibition of 1851</w:t>
      </w:r>
      <w:r w:rsidR="0017252E">
        <w:rPr>
          <w:sz w:val="23"/>
          <w:szCs w:val="23"/>
        </w:rPr>
        <w:t>,</w:t>
      </w:r>
      <w:r>
        <w:rPr>
          <w:sz w:val="23"/>
          <w:szCs w:val="23"/>
        </w:rPr>
        <w:t>”</w:t>
      </w:r>
      <w:r w:rsidR="0017252E">
        <w:rPr>
          <w:sz w:val="23"/>
          <w:szCs w:val="23"/>
        </w:rPr>
        <w:t xml:space="preserve"> American Society of Church History Spring Meeting, April 2011.</w:t>
      </w:r>
    </w:p>
    <w:p w:rsidR="0017252E" w:rsidRDefault="0017252E" w:rsidP="00002DA3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832D33" w:rsidRDefault="00544EEA" w:rsidP="00002DA3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“</w:t>
      </w:r>
      <w:r w:rsidR="00832D33">
        <w:rPr>
          <w:sz w:val="23"/>
          <w:szCs w:val="23"/>
        </w:rPr>
        <w:t>Consumerism, Mourning, and the Picturesque in Romantic Evangelicalism,</w:t>
      </w:r>
      <w:r>
        <w:rPr>
          <w:sz w:val="23"/>
          <w:szCs w:val="23"/>
        </w:rPr>
        <w:t>”</w:t>
      </w:r>
      <w:r w:rsidR="00832D33">
        <w:rPr>
          <w:sz w:val="23"/>
          <w:szCs w:val="23"/>
        </w:rPr>
        <w:t xml:space="preserve"> Midwest Conf</w:t>
      </w:r>
      <w:r w:rsidR="00D6538A">
        <w:rPr>
          <w:sz w:val="23"/>
          <w:szCs w:val="23"/>
        </w:rPr>
        <w:t xml:space="preserve">erence on British Studies, October </w:t>
      </w:r>
      <w:r w:rsidR="00832D33">
        <w:rPr>
          <w:sz w:val="23"/>
          <w:szCs w:val="23"/>
        </w:rPr>
        <w:t>2010.</w:t>
      </w:r>
    </w:p>
    <w:p w:rsidR="00832D33" w:rsidRDefault="00832D33" w:rsidP="00002DA3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2B4EFB" w:rsidRDefault="00544EEA" w:rsidP="00002DA3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“</w:t>
      </w:r>
      <w:r w:rsidR="008A4F18" w:rsidRPr="008A4F18">
        <w:rPr>
          <w:sz w:val="23"/>
          <w:szCs w:val="23"/>
        </w:rPr>
        <w:t>Evangelical Geographies:</w:t>
      </w:r>
      <w:r w:rsidR="00085F4D">
        <w:rPr>
          <w:sz w:val="23"/>
          <w:szCs w:val="23"/>
        </w:rPr>
        <w:t xml:space="preserve"> </w:t>
      </w:r>
      <w:r w:rsidR="008A4F18" w:rsidRPr="008A4F18">
        <w:rPr>
          <w:sz w:val="23"/>
          <w:szCs w:val="23"/>
        </w:rPr>
        <w:t>Religious Tourism and Souvenirs in Early Victorian Britain</w:t>
      </w:r>
      <w:r w:rsidR="008A35FA" w:rsidRPr="005D1275">
        <w:rPr>
          <w:sz w:val="23"/>
          <w:szCs w:val="23"/>
        </w:rPr>
        <w:t>,</w:t>
      </w:r>
      <w:r>
        <w:rPr>
          <w:sz w:val="23"/>
          <w:szCs w:val="23"/>
        </w:rPr>
        <w:t>”</w:t>
      </w:r>
      <w:r w:rsidR="008A35FA" w:rsidRPr="005D1275">
        <w:rPr>
          <w:sz w:val="23"/>
          <w:szCs w:val="23"/>
        </w:rPr>
        <w:t xml:space="preserve"> Midwest Victorian Studie</w:t>
      </w:r>
      <w:r w:rsidR="00FB7B8E">
        <w:rPr>
          <w:sz w:val="23"/>
          <w:szCs w:val="23"/>
        </w:rPr>
        <w:t>s Association Conference, April</w:t>
      </w:r>
      <w:r w:rsidR="008A35FA" w:rsidRPr="005D1275">
        <w:rPr>
          <w:sz w:val="23"/>
          <w:szCs w:val="23"/>
        </w:rPr>
        <w:t xml:space="preserve"> 2010.</w:t>
      </w:r>
      <w:r w:rsidR="002B4EFB">
        <w:rPr>
          <w:sz w:val="23"/>
          <w:szCs w:val="23"/>
        </w:rPr>
        <w:t xml:space="preserve"> </w:t>
      </w:r>
    </w:p>
    <w:p w:rsidR="008A35FA" w:rsidRDefault="002963CC" w:rsidP="002B4EFB">
      <w:pPr>
        <w:widowControl w:val="0"/>
        <w:overflowPunct w:val="0"/>
        <w:autoSpaceDE w:val="0"/>
        <w:ind w:left="1440"/>
        <w:textAlignment w:val="baseline"/>
        <w:rPr>
          <w:sz w:val="23"/>
          <w:szCs w:val="23"/>
        </w:rPr>
      </w:pPr>
      <w:r>
        <w:rPr>
          <w:sz w:val="23"/>
          <w:szCs w:val="23"/>
        </w:rPr>
        <w:t>This paper was awarded the 2010</w:t>
      </w:r>
      <w:r w:rsidR="009D3FD6">
        <w:rPr>
          <w:sz w:val="23"/>
          <w:szCs w:val="23"/>
        </w:rPr>
        <w:t xml:space="preserve"> </w:t>
      </w:r>
      <w:r w:rsidR="001066B6" w:rsidRPr="003E7587">
        <w:rPr>
          <w:i/>
          <w:sz w:val="23"/>
          <w:szCs w:val="23"/>
        </w:rPr>
        <w:t>William and Mary Burgan Prize</w:t>
      </w:r>
      <w:r w:rsidR="002B4EFB">
        <w:rPr>
          <w:sz w:val="23"/>
          <w:szCs w:val="23"/>
        </w:rPr>
        <w:t xml:space="preserve"> by the MVSA for the best paper presented by a graduate student.</w:t>
      </w:r>
    </w:p>
    <w:p w:rsidR="008D0A76" w:rsidRDefault="008D0A76" w:rsidP="00002DA3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8D0A76" w:rsidRPr="00640E59" w:rsidRDefault="00544EEA" w:rsidP="00002DA3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lastRenderedPageBreak/>
        <w:t>“</w:t>
      </w:r>
      <w:r w:rsidR="008D0A76" w:rsidRPr="008D0A76">
        <w:rPr>
          <w:sz w:val="23"/>
          <w:szCs w:val="23"/>
        </w:rPr>
        <w:t>Mucus and Orthodoxy: Medical and Religious Truth in th</w:t>
      </w:r>
      <w:r w:rsidR="008D0A76">
        <w:rPr>
          <w:sz w:val="23"/>
          <w:szCs w:val="23"/>
        </w:rPr>
        <w:t>e Early Nineteenth-Century Body,</w:t>
      </w:r>
      <w:r>
        <w:rPr>
          <w:sz w:val="23"/>
          <w:szCs w:val="23"/>
        </w:rPr>
        <w:t>”</w:t>
      </w:r>
      <w:r w:rsidR="008D0A76">
        <w:rPr>
          <w:sz w:val="23"/>
          <w:szCs w:val="23"/>
        </w:rPr>
        <w:t xml:space="preserve"> Pacific Coast Confe</w:t>
      </w:r>
      <w:r w:rsidR="00FB7B8E">
        <w:rPr>
          <w:sz w:val="23"/>
          <w:szCs w:val="23"/>
        </w:rPr>
        <w:t>rence on British Studies, March</w:t>
      </w:r>
      <w:r w:rsidR="008D0A76">
        <w:rPr>
          <w:sz w:val="23"/>
          <w:szCs w:val="23"/>
        </w:rPr>
        <w:t xml:space="preserve"> 2010.</w:t>
      </w:r>
    </w:p>
    <w:p w:rsidR="008A35FA" w:rsidRPr="005D1275" w:rsidRDefault="008A35FA" w:rsidP="008A35FA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8A35FA" w:rsidRPr="005D1275" w:rsidRDefault="00544EEA" w:rsidP="00002DA3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“</w:t>
      </w:r>
      <w:r w:rsidR="008A35FA" w:rsidRPr="005D1275">
        <w:rPr>
          <w:bCs/>
          <w:sz w:val="23"/>
          <w:szCs w:val="23"/>
        </w:rPr>
        <w:t>Evangelicalism and Public Spaces: Crowds, Social Networks, and Anonymity in Early Nineteenth-Century Britain</w:t>
      </w:r>
      <w:r w:rsidR="008A35FA" w:rsidRPr="005D1275">
        <w:rPr>
          <w:sz w:val="23"/>
          <w:szCs w:val="23"/>
        </w:rPr>
        <w:t>,</w:t>
      </w:r>
      <w:r>
        <w:rPr>
          <w:sz w:val="23"/>
          <w:szCs w:val="23"/>
        </w:rPr>
        <w:t>”</w:t>
      </w:r>
      <w:r w:rsidR="008A35FA" w:rsidRPr="005D1275">
        <w:rPr>
          <w:sz w:val="23"/>
          <w:szCs w:val="23"/>
        </w:rPr>
        <w:t xml:space="preserve"> British Modernities Conference on Religion, Secularism, and Nationhood, University of Il</w:t>
      </w:r>
      <w:r w:rsidR="00D325A0">
        <w:rPr>
          <w:sz w:val="23"/>
          <w:szCs w:val="23"/>
        </w:rPr>
        <w:t>linois, Urbana-Champaign, April</w:t>
      </w:r>
      <w:r w:rsidR="008A35FA" w:rsidRPr="005D1275">
        <w:rPr>
          <w:sz w:val="23"/>
          <w:szCs w:val="23"/>
        </w:rPr>
        <w:t xml:space="preserve"> 2009.</w:t>
      </w:r>
    </w:p>
    <w:p w:rsidR="008A35FA" w:rsidRPr="005D1275" w:rsidRDefault="008A35FA" w:rsidP="008A35FA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8A35FA" w:rsidRPr="005D1275" w:rsidRDefault="00544EEA" w:rsidP="00002DA3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“</w:t>
      </w:r>
      <w:r w:rsidR="008A35FA" w:rsidRPr="005D1275">
        <w:rPr>
          <w:sz w:val="23"/>
          <w:szCs w:val="23"/>
        </w:rPr>
        <w:t>Executions, Fairs, and Sunday Strollers: Evangelical Tracts and Public Spaces,</w:t>
      </w:r>
      <w:r>
        <w:rPr>
          <w:sz w:val="23"/>
          <w:szCs w:val="23"/>
        </w:rPr>
        <w:t>”</w:t>
      </w:r>
      <w:r w:rsidR="008A35FA" w:rsidRPr="005D1275">
        <w:rPr>
          <w:sz w:val="23"/>
          <w:szCs w:val="23"/>
        </w:rPr>
        <w:t xml:space="preserve"> Paul Lucas Conference in His</w:t>
      </w:r>
      <w:r w:rsidR="00FD1C98">
        <w:rPr>
          <w:sz w:val="23"/>
          <w:szCs w:val="23"/>
        </w:rPr>
        <w:t>tory, Indiana University, March</w:t>
      </w:r>
      <w:r w:rsidR="008A35FA" w:rsidRPr="005D1275">
        <w:rPr>
          <w:sz w:val="23"/>
          <w:szCs w:val="23"/>
        </w:rPr>
        <w:t xml:space="preserve"> 2009. </w:t>
      </w:r>
    </w:p>
    <w:p w:rsidR="008443FB" w:rsidRPr="005D1275" w:rsidRDefault="008443FB" w:rsidP="008A35FA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8A35FA" w:rsidRPr="005D1275" w:rsidRDefault="00544EEA" w:rsidP="00002DA3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“</w:t>
      </w:r>
      <w:r w:rsidR="008A35FA" w:rsidRPr="005D1275">
        <w:rPr>
          <w:sz w:val="23"/>
          <w:szCs w:val="23"/>
        </w:rPr>
        <w:t>Leaves of Edification: Nature, Place, and the Commodification of Evangelical Sentimentalism,</w:t>
      </w:r>
      <w:r>
        <w:rPr>
          <w:sz w:val="23"/>
          <w:szCs w:val="23"/>
        </w:rPr>
        <w:t>”</w:t>
      </w:r>
      <w:r w:rsidR="008A35FA" w:rsidRPr="005D1275">
        <w:rPr>
          <w:sz w:val="23"/>
          <w:szCs w:val="23"/>
        </w:rPr>
        <w:t xml:space="preserve"> AAS Fellows Talk, Amer</w:t>
      </w:r>
      <w:r w:rsidR="00D73D55">
        <w:rPr>
          <w:sz w:val="23"/>
          <w:szCs w:val="23"/>
        </w:rPr>
        <w:t>ican Antiquarian Society, July</w:t>
      </w:r>
      <w:r w:rsidR="008A35FA" w:rsidRPr="005D1275">
        <w:rPr>
          <w:sz w:val="23"/>
          <w:szCs w:val="23"/>
        </w:rPr>
        <w:t xml:space="preserve"> 2008.</w:t>
      </w:r>
    </w:p>
    <w:p w:rsidR="008A35FA" w:rsidRPr="005D1275" w:rsidRDefault="008A35FA" w:rsidP="008A35FA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8A35FA" w:rsidRDefault="00544EEA" w:rsidP="00002DA3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“</w:t>
      </w:r>
      <w:r w:rsidR="008A35FA" w:rsidRPr="005D1275">
        <w:rPr>
          <w:sz w:val="23"/>
          <w:szCs w:val="23"/>
        </w:rPr>
        <w:t>Propaganda and Power: Reconsidering Ari Þorgilsson´s</w:t>
      </w:r>
      <w:r w:rsidR="00085F4D">
        <w:rPr>
          <w:sz w:val="23"/>
          <w:szCs w:val="23"/>
        </w:rPr>
        <w:t xml:space="preserve"> </w:t>
      </w:r>
      <w:r w:rsidR="008A35FA" w:rsidRPr="005D1275">
        <w:rPr>
          <w:i/>
          <w:sz w:val="23"/>
          <w:szCs w:val="23"/>
        </w:rPr>
        <w:t>Íslendingabók</w:t>
      </w:r>
      <w:r w:rsidR="008A35FA" w:rsidRPr="005D1275">
        <w:rPr>
          <w:sz w:val="23"/>
          <w:szCs w:val="23"/>
        </w:rPr>
        <w:t xml:space="preserve"> ,</w:t>
      </w:r>
      <w:r>
        <w:rPr>
          <w:sz w:val="23"/>
          <w:szCs w:val="23"/>
        </w:rPr>
        <w:t>”</w:t>
      </w:r>
      <w:r w:rsidR="008A35FA" w:rsidRPr="005D1275">
        <w:rPr>
          <w:sz w:val="23"/>
          <w:szCs w:val="23"/>
        </w:rPr>
        <w:t xml:space="preserve"> 39</w:t>
      </w:r>
      <w:r w:rsidR="008A35FA" w:rsidRPr="005D1275">
        <w:rPr>
          <w:sz w:val="23"/>
          <w:szCs w:val="23"/>
          <w:vertAlign w:val="superscript"/>
        </w:rPr>
        <w:t>th</w:t>
      </w:r>
      <w:r w:rsidR="008A35FA" w:rsidRPr="005D1275">
        <w:rPr>
          <w:sz w:val="23"/>
          <w:szCs w:val="23"/>
        </w:rPr>
        <w:t xml:space="preserve"> International Congress on Medieval Studies, </w:t>
      </w:r>
      <w:r w:rsidR="00FD1C98">
        <w:rPr>
          <w:sz w:val="23"/>
          <w:szCs w:val="23"/>
        </w:rPr>
        <w:t xml:space="preserve">May </w:t>
      </w:r>
      <w:r w:rsidR="008A35FA" w:rsidRPr="005D1275">
        <w:rPr>
          <w:sz w:val="23"/>
          <w:szCs w:val="23"/>
        </w:rPr>
        <w:t>2004.</w:t>
      </w:r>
    </w:p>
    <w:p w:rsidR="00C27403" w:rsidRDefault="00C27403" w:rsidP="00BE5AA5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C27403" w:rsidRDefault="00C27403" w:rsidP="00BE5AA5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6543ED" w:rsidRPr="00BF1091" w:rsidRDefault="00890A18" w:rsidP="006543ED">
      <w:pPr>
        <w:widowControl w:val="0"/>
        <w:overflowPunct w:val="0"/>
        <w:autoSpaceDE w:val="0"/>
        <w:textAlignment w:val="baseline"/>
        <w:rPr>
          <w:b/>
          <w:smallCaps/>
          <w:sz w:val="19"/>
          <w:szCs w:val="19"/>
        </w:rPr>
      </w:pPr>
      <w:r>
        <w:rPr>
          <w:b/>
          <w:smallCaps/>
          <w:sz w:val="23"/>
          <w:szCs w:val="23"/>
        </w:rPr>
        <w:t xml:space="preserve">Selected </w:t>
      </w:r>
      <w:r w:rsidR="00BF1091" w:rsidRPr="00BF1091">
        <w:rPr>
          <w:b/>
          <w:smallCaps/>
          <w:sz w:val="23"/>
          <w:szCs w:val="23"/>
        </w:rPr>
        <w:t>Grants, Fellowships, and Awards</w:t>
      </w:r>
    </w:p>
    <w:p w:rsidR="006543ED" w:rsidRDefault="006543ED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</w:p>
    <w:p w:rsidR="00852253" w:rsidRDefault="009656CE" w:rsidP="00E12644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Armstrong Browning Library Teaching Fellow, Baylor University, 2015.</w:t>
      </w:r>
    </w:p>
    <w:p w:rsidR="00852253" w:rsidRDefault="00852253" w:rsidP="00E12644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852253" w:rsidRDefault="00852253" w:rsidP="00E12644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Summer Sabbatical, College of Arts and Sciences, Baylor University, 2014.</w:t>
      </w:r>
    </w:p>
    <w:p w:rsidR="00852253" w:rsidRDefault="00852253" w:rsidP="00E12644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E12644" w:rsidRDefault="00E12644" w:rsidP="00E12644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Semester Research Leave, College of Arts and Sciences, Baylor University, Fall 2014.</w:t>
      </w:r>
    </w:p>
    <w:p w:rsidR="00E12644" w:rsidRDefault="00E12644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</w:p>
    <w:p w:rsidR="00986EA2" w:rsidRDefault="00986EA2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  <w:r>
        <w:rPr>
          <w:sz w:val="23"/>
          <w:szCs w:val="23"/>
        </w:rPr>
        <w:t>Summer Sabbatical, College of Arts and Sciences, Baylor University, 2013.</w:t>
      </w:r>
    </w:p>
    <w:p w:rsidR="00986EA2" w:rsidRDefault="00986EA2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</w:p>
    <w:p w:rsidR="00B101AC" w:rsidRDefault="00B101AC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  <w:r>
        <w:rPr>
          <w:sz w:val="23"/>
          <w:szCs w:val="23"/>
        </w:rPr>
        <w:t>University Research Committee Grant, Baylor University, 2012.</w:t>
      </w:r>
    </w:p>
    <w:p w:rsidR="00B101AC" w:rsidRDefault="00B101AC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</w:p>
    <w:p w:rsidR="0083291A" w:rsidRDefault="0083291A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Summer Sabbatical, </w:t>
      </w:r>
      <w:r w:rsidR="00FE70FE">
        <w:rPr>
          <w:sz w:val="23"/>
          <w:szCs w:val="23"/>
        </w:rPr>
        <w:t xml:space="preserve">College of Arts and Sciences, </w:t>
      </w:r>
      <w:r w:rsidR="00852253">
        <w:rPr>
          <w:sz w:val="23"/>
          <w:szCs w:val="23"/>
        </w:rPr>
        <w:t>Baylor University, 2011</w:t>
      </w:r>
      <w:r>
        <w:rPr>
          <w:sz w:val="23"/>
          <w:szCs w:val="23"/>
        </w:rPr>
        <w:t>.</w:t>
      </w:r>
    </w:p>
    <w:p w:rsidR="0083291A" w:rsidRDefault="0083291A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</w:p>
    <w:p w:rsidR="006543ED" w:rsidRDefault="006543ED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  <w:r>
        <w:rPr>
          <w:sz w:val="23"/>
          <w:szCs w:val="23"/>
        </w:rPr>
        <w:t>Sidney E. Mead Prize, American</w:t>
      </w:r>
      <w:r w:rsidR="005024E5">
        <w:rPr>
          <w:sz w:val="23"/>
          <w:szCs w:val="23"/>
        </w:rPr>
        <w:t xml:space="preserve"> Society of Church History, 2011</w:t>
      </w:r>
      <w:r>
        <w:rPr>
          <w:sz w:val="23"/>
          <w:szCs w:val="23"/>
        </w:rPr>
        <w:t>.</w:t>
      </w:r>
    </w:p>
    <w:p w:rsidR="006543ED" w:rsidRDefault="006543ED" w:rsidP="006543ED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C123DF" w:rsidRDefault="00C123DF" w:rsidP="00C123DF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Dissertation Fellowship, Center for Eighteenth-Century Studies, Indiana University, </w:t>
      </w:r>
      <w:r>
        <w:rPr>
          <w:sz w:val="23"/>
          <w:szCs w:val="23"/>
        </w:rPr>
        <w:tab/>
        <w:t>2010-2011.</w:t>
      </w:r>
    </w:p>
    <w:p w:rsidR="00C123DF" w:rsidRDefault="00C123DF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</w:p>
    <w:p w:rsidR="006543ED" w:rsidRPr="009866DF" w:rsidRDefault="006543ED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  <w:r w:rsidRPr="009866DF">
        <w:rPr>
          <w:sz w:val="23"/>
          <w:szCs w:val="23"/>
        </w:rPr>
        <w:t>Burgan Prize, Midwest Victorian Studies Association, 2010.</w:t>
      </w:r>
    </w:p>
    <w:p w:rsidR="00C123DF" w:rsidRDefault="00C123DF" w:rsidP="00890A18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6543ED" w:rsidRPr="009866DF" w:rsidRDefault="006543ED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  <w:r w:rsidRPr="009866DF">
        <w:rPr>
          <w:sz w:val="23"/>
          <w:szCs w:val="23"/>
        </w:rPr>
        <w:t>Bernadotte Schmitt Grant, American Historical Association, 2009.</w:t>
      </w:r>
    </w:p>
    <w:p w:rsidR="006543ED" w:rsidRDefault="006543ED" w:rsidP="006543ED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6543ED" w:rsidRPr="009866DF" w:rsidRDefault="006543ED" w:rsidP="006543ED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 w:rsidRPr="009866DF">
        <w:rPr>
          <w:sz w:val="23"/>
          <w:szCs w:val="23"/>
        </w:rPr>
        <w:t>NACBS-Huntington Library Fellowship, North American Conference on British Studies, 2009.</w:t>
      </w:r>
    </w:p>
    <w:p w:rsidR="006543ED" w:rsidRDefault="006543ED" w:rsidP="006543ED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6543ED" w:rsidRDefault="006543ED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  <w:r w:rsidRPr="009866DF">
        <w:rPr>
          <w:sz w:val="23"/>
          <w:szCs w:val="23"/>
        </w:rPr>
        <w:t>Walter L. Arnstein Prize, Midwest Victorian Studies Association, 2009.</w:t>
      </w:r>
    </w:p>
    <w:p w:rsidR="006543ED" w:rsidRDefault="006543ED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</w:p>
    <w:p w:rsidR="006543ED" w:rsidRPr="005D1275" w:rsidRDefault="006543ED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  <w:r w:rsidRPr="005D1275">
        <w:rPr>
          <w:sz w:val="23"/>
          <w:szCs w:val="23"/>
        </w:rPr>
        <w:t>W.M. Keck Foundation Fellowship, Huntington Library, 2009.</w:t>
      </w:r>
    </w:p>
    <w:p w:rsidR="006543ED" w:rsidRPr="005D1275" w:rsidRDefault="006543ED" w:rsidP="006543ED">
      <w:pPr>
        <w:widowControl w:val="0"/>
        <w:overflowPunct w:val="0"/>
        <w:autoSpaceDE w:val="0"/>
        <w:textAlignment w:val="baseline"/>
        <w:rPr>
          <w:bCs/>
          <w:sz w:val="23"/>
          <w:szCs w:val="23"/>
        </w:rPr>
      </w:pPr>
    </w:p>
    <w:p w:rsidR="006543ED" w:rsidRDefault="006543ED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  <w:r w:rsidRPr="005D1275">
        <w:rPr>
          <w:bCs/>
          <w:sz w:val="23"/>
          <w:szCs w:val="23"/>
        </w:rPr>
        <w:t>Winterthur Research Fellowship</w:t>
      </w:r>
      <w:r w:rsidRPr="005D1275">
        <w:rPr>
          <w:sz w:val="23"/>
          <w:szCs w:val="23"/>
        </w:rPr>
        <w:t>, Winterthur Museum, 2009.</w:t>
      </w:r>
    </w:p>
    <w:p w:rsidR="006543ED" w:rsidRDefault="006543ED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</w:p>
    <w:p w:rsidR="00C123DF" w:rsidRDefault="00C123DF" w:rsidP="00C123DF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 w:rsidRPr="005D1275">
        <w:rPr>
          <w:sz w:val="23"/>
          <w:szCs w:val="23"/>
        </w:rPr>
        <w:t>Grant-in-Aid of Doctoral Research, College of Arts and Sciences, Indiana University, 2009.</w:t>
      </w:r>
    </w:p>
    <w:p w:rsidR="00C123DF" w:rsidRDefault="00C123DF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</w:p>
    <w:p w:rsidR="00C123DF" w:rsidRDefault="00C123DF" w:rsidP="00C123DF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  <w:r w:rsidRPr="005D1275">
        <w:rPr>
          <w:sz w:val="23"/>
          <w:szCs w:val="23"/>
        </w:rPr>
        <w:t>Travel Grant, Center for Eighteenth-Century Studies, Indiana University, 2009.</w:t>
      </w:r>
    </w:p>
    <w:p w:rsidR="00C123DF" w:rsidRDefault="00C123DF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</w:p>
    <w:p w:rsidR="006543ED" w:rsidRPr="005D1275" w:rsidRDefault="006543ED" w:rsidP="006543ED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  <w:r w:rsidRPr="005D1275">
        <w:rPr>
          <w:sz w:val="23"/>
          <w:szCs w:val="23"/>
        </w:rPr>
        <w:t>Jay and Deborah Last Fellowship, American Antiquarian Society, 2008.</w:t>
      </w:r>
    </w:p>
    <w:p w:rsidR="000B6EB3" w:rsidRPr="005D1275" w:rsidRDefault="000B6EB3" w:rsidP="006543ED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A62266" w:rsidRDefault="00A62266" w:rsidP="00A62266">
      <w:pPr>
        <w:widowControl w:val="0"/>
        <w:overflowPunct w:val="0"/>
        <w:autoSpaceDE w:val="0"/>
        <w:textAlignment w:val="baseline"/>
        <w:rPr>
          <w:bCs/>
          <w:sz w:val="23"/>
          <w:szCs w:val="23"/>
        </w:rPr>
      </w:pPr>
    </w:p>
    <w:p w:rsidR="00A62266" w:rsidRPr="00BF1091" w:rsidRDefault="00BF1091" w:rsidP="00A62266">
      <w:pPr>
        <w:widowControl w:val="0"/>
        <w:overflowPunct w:val="0"/>
        <w:autoSpaceDE w:val="0"/>
        <w:textAlignment w:val="baseline"/>
        <w:rPr>
          <w:b/>
          <w:smallCaps/>
          <w:sz w:val="19"/>
          <w:szCs w:val="19"/>
        </w:rPr>
      </w:pPr>
      <w:r w:rsidRPr="00BF1091">
        <w:rPr>
          <w:b/>
          <w:smallCaps/>
          <w:sz w:val="23"/>
          <w:szCs w:val="23"/>
        </w:rPr>
        <w:t>Teaching</w:t>
      </w:r>
    </w:p>
    <w:p w:rsidR="00A62266" w:rsidRDefault="00A62266" w:rsidP="00A62266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520218" w:rsidRPr="00520218" w:rsidRDefault="00520218" w:rsidP="0064394A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sz w:val="23"/>
          <w:szCs w:val="23"/>
        </w:rPr>
        <w:t>His 5320, “Introduction to Cultural History,” Spring 2015, Baylor University.</w:t>
      </w:r>
    </w:p>
    <w:p w:rsidR="00520218" w:rsidRDefault="00520218" w:rsidP="0064394A">
      <w:pPr>
        <w:widowControl w:val="0"/>
        <w:overflowPunct w:val="0"/>
        <w:autoSpaceDE w:val="0"/>
        <w:textAlignment w:val="baseline"/>
        <w:rPr>
          <w:b/>
          <w:sz w:val="23"/>
          <w:szCs w:val="23"/>
        </w:rPr>
      </w:pPr>
    </w:p>
    <w:p w:rsidR="00F10CCD" w:rsidRPr="00F10CCD" w:rsidRDefault="00A96514" w:rsidP="0064394A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  <w:r>
        <w:rPr>
          <w:b/>
          <w:sz w:val="23"/>
          <w:szCs w:val="23"/>
        </w:rPr>
        <w:tab/>
      </w:r>
      <w:r w:rsidR="00F10CCD">
        <w:rPr>
          <w:sz w:val="23"/>
          <w:szCs w:val="23"/>
        </w:rPr>
        <w:t xml:space="preserve">His 4340, </w:t>
      </w:r>
      <w:r w:rsidR="00544EEA">
        <w:rPr>
          <w:sz w:val="23"/>
          <w:szCs w:val="23"/>
        </w:rPr>
        <w:t>“</w:t>
      </w:r>
      <w:r w:rsidR="00F10CCD">
        <w:rPr>
          <w:sz w:val="23"/>
          <w:szCs w:val="23"/>
        </w:rPr>
        <w:t>Britain in the Eighteenth Century</w:t>
      </w:r>
      <w:r w:rsidR="009D3FD6">
        <w:rPr>
          <w:sz w:val="23"/>
          <w:szCs w:val="23"/>
        </w:rPr>
        <w:t>,</w:t>
      </w:r>
      <w:r w:rsidR="00544EEA">
        <w:rPr>
          <w:sz w:val="23"/>
          <w:szCs w:val="23"/>
        </w:rPr>
        <w:t>”</w:t>
      </w:r>
      <w:r w:rsidR="009D3FD6">
        <w:rPr>
          <w:sz w:val="23"/>
          <w:szCs w:val="23"/>
        </w:rPr>
        <w:t xml:space="preserve"> Spring 2013, Baylor University.</w:t>
      </w:r>
    </w:p>
    <w:p w:rsidR="00F10CCD" w:rsidRDefault="00F10CCD" w:rsidP="0064394A">
      <w:pPr>
        <w:widowControl w:val="0"/>
        <w:overflowPunct w:val="0"/>
        <w:autoSpaceDE w:val="0"/>
        <w:textAlignment w:val="baseline"/>
        <w:rPr>
          <w:b/>
          <w:sz w:val="23"/>
          <w:szCs w:val="23"/>
        </w:rPr>
      </w:pPr>
    </w:p>
    <w:p w:rsidR="004556DC" w:rsidRPr="004556DC" w:rsidRDefault="00A62266" w:rsidP="0064394A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  <w:r w:rsidRPr="002C62F7">
        <w:rPr>
          <w:b/>
          <w:sz w:val="23"/>
          <w:szCs w:val="23"/>
        </w:rPr>
        <w:tab/>
      </w:r>
      <w:r w:rsidR="004556DC">
        <w:rPr>
          <w:sz w:val="23"/>
          <w:szCs w:val="23"/>
        </w:rPr>
        <w:t xml:space="preserve">His 4340, </w:t>
      </w:r>
      <w:r w:rsidR="00544EEA">
        <w:rPr>
          <w:sz w:val="23"/>
          <w:szCs w:val="23"/>
        </w:rPr>
        <w:t>“</w:t>
      </w:r>
      <w:r w:rsidR="004556DC">
        <w:rPr>
          <w:sz w:val="23"/>
          <w:szCs w:val="23"/>
        </w:rPr>
        <w:t>The British Empire,</w:t>
      </w:r>
      <w:r w:rsidR="00544EEA">
        <w:rPr>
          <w:sz w:val="23"/>
          <w:szCs w:val="23"/>
        </w:rPr>
        <w:t>”</w:t>
      </w:r>
      <w:r w:rsidR="004556DC">
        <w:rPr>
          <w:sz w:val="23"/>
          <w:szCs w:val="23"/>
        </w:rPr>
        <w:t xml:space="preserve"> Fall 2012, Baylor University.</w:t>
      </w:r>
    </w:p>
    <w:p w:rsidR="004556DC" w:rsidRDefault="004556DC" w:rsidP="0064394A">
      <w:pPr>
        <w:widowControl w:val="0"/>
        <w:overflowPunct w:val="0"/>
        <w:autoSpaceDE w:val="0"/>
        <w:textAlignment w:val="baseline"/>
        <w:rPr>
          <w:b/>
          <w:sz w:val="23"/>
          <w:szCs w:val="23"/>
        </w:rPr>
      </w:pPr>
    </w:p>
    <w:p w:rsidR="001261A9" w:rsidRPr="001261A9" w:rsidRDefault="001261A9" w:rsidP="001261A9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  <w:r w:rsidRPr="001261A9">
        <w:rPr>
          <w:sz w:val="23"/>
          <w:szCs w:val="23"/>
        </w:rPr>
        <w:t xml:space="preserve">His 4345, </w:t>
      </w:r>
      <w:r w:rsidR="00544EEA">
        <w:rPr>
          <w:sz w:val="23"/>
          <w:szCs w:val="23"/>
        </w:rPr>
        <w:t>“</w:t>
      </w:r>
      <w:r w:rsidRPr="001261A9">
        <w:rPr>
          <w:sz w:val="23"/>
          <w:szCs w:val="23"/>
        </w:rPr>
        <w:t>Britain in the Nineteenth Century,</w:t>
      </w:r>
      <w:r w:rsidR="00544EEA">
        <w:rPr>
          <w:sz w:val="23"/>
          <w:szCs w:val="23"/>
        </w:rPr>
        <w:t>”</w:t>
      </w:r>
      <w:r w:rsidRPr="001261A9">
        <w:rPr>
          <w:sz w:val="23"/>
          <w:szCs w:val="23"/>
        </w:rPr>
        <w:t xml:space="preserve"> Fall 2013, Baylor University.</w:t>
      </w:r>
    </w:p>
    <w:p w:rsidR="001261A9" w:rsidRDefault="001261A9" w:rsidP="0064394A">
      <w:pPr>
        <w:widowControl w:val="0"/>
        <w:overflowPunct w:val="0"/>
        <w:autoSpaceDE w:val="0"/>
        <w:textAlignment w:val="baseline"/>
        <w:rPr>
          <w:b/>
          <w:sz w:val="23"/>
          <w:szCs w:val="23"/>
        </w:rPr>
      </w:pPr>
    </w:p>
    <w:p w:rsidR="00E53C28" w:rsidRDefault="00E53C28" w:rsidP="00E12644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His 4346, </w:t>
      </w:r>
      <w:r w:rsidR="00544EEA">
        <w:rPr>
          <w:sz w:val="23"/>
          <w:szCs w:val="23"/>
        </w:rPr>
        <w:t>“</w:t>
      </w:r>
      <w:r>
        <w:rPr>
          <w:sz w:val="23"/>
          <w:szCs w:val="23"/>
        </w:rPr>
        <w:t>Britain in the Twentieth Century,</w:t>
      </w:r>
      <w:r w:rsidR="00544EEA">
        <w:rPr>
          <w:sz w:val="23"/>
          <w:szCs w:val="23"/>
        </w:rPr>
        <w:t>”</w:t>
      </w:r>
      <w:r>
        <w:rPr>
          <w:sz w:val="23"/>
          <w:szCs w:val="23"/>
        </w:rPr>
        <w:t xml:space="preserve"> Spring 2012, </w:t>
      </w:r>
      <w:r w:rsidR="00E12644">
        <w:rPr>
          <w:sz w:val="23"/>
          <w:szCs w:val="23"/>
        </w:rPr>
        <w:t xml:space="preserve">Spring 2014, </w:t>
      </w:r>
      <w:r>
        <w:rPr>
          <w:sz w:val="23"/>
          <w:szCs w:val="23"/>
        </w:rPr>
        <w:t>Baylor University.</w:t>
      </w:r>
    </w:p>
    <w:p w:rsidR="00E53C28" w:rsidRDefault="00E53C28" w:rsidP="00785FA6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785FA6" w:rsidRDefault="00785FA6" w:rsidP="00785FA6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His 1307, </w:t>
      </w:r>
      <w:r w:rsidR="00544EEA">
        <w:rPr>
          <w:sz w:val="23"/>
          <w:szCs w:val="23"/>
        </w:rPr>
        <w:t>“</w:t>
      </w:r>
      <w:r>
        <w:rPr>
          <w:sz w:val="23"/>
          <w:szCs w:val="23"/>
        </w:rPr>
        <w:t>World History since 1500,</w:t>
      </w:r>
      <w:r w:rsidR="00544EEA">
        <w:rPr>
          <w:sz w:val="23"/>
          <w:szCs w:val="23"/>
        </w:rPr>
        <w:t>”</w:t>
      </w:r>
      <w:r>
        <w:rPr>
          <w:sz w:val="23"/>
          <w:szCs w:val="23"/>
        </w:rPr>
        <w:t xml:space="preserve"> Fall 2011, </w:t>
      </w:r>
      <w:r w:rsidR="00892C3E">
        <w:rPr>
          <w:sz w:val="23"/>
          <w:szCs w:val="23"/>
        </w:rPr>
        <w:t xml:space="preserve">Spring 2012, </w:t>
      </w:r>
      <w:r w:rsidR="004556DC">
        <w:rPr>
          <w:sz w:val="23"/>
          <w:szCs w:val="23"/>
        </w:rPr>
        <w:t xml:space="preserve">Fall 2012, </w:t>
      </w:r>
      <w:r w:rsidR="009D3FD6">
        <w:rPr>
          <w:sz w:val="23"/>
          <w:szCs w:val="23"/>
        </w:rPr>
        <w:t xml:space="preserve">Spring 2013, </w:t>
      </w:r>
      <w:r w:rsidR="00A96514">
        <w:rPr>
          <w:sz w:val="23"/>
          <w:szCs w:val="23"/>
        </w:rPr>
        <w:t>Fall 2013,</w:t>
      </w:r>
      <w:r w:rsidR="00047EE4">
        <w:rPr>
          <w:sz w:val="23"/>
          <w:szCs w:val="23"/>
        </w:rPr>
        <w:t xml:space="preserve"> Spring 2014,</w:t>
      </w:r>
      <w:r w:rsidR="00A96514">
        <w:rPr>
          <w:sz w:val="23"/>
          <w:szCs w:val="23"/>
        </w:rPr>
        <w:t xml:space="preserve"> </w:t>
      </w:r>
      <w:r w:rsidR="00520218">
        <w:rPr>
          <w:sz w:val="23"/>
          <w:szCs w:val="23"/>
        </w:rPr>
        <w:t xml:space="preserve">Spring 2015, </w:t>
      </w:r>
      <w:r>
        <w:rPr>
          <w:sz w:val="23"/>
          <w:szCs w:val="23"/>
        </w:rPr>
        <w:t>Baylor University.</w:t>
      </w:r>
    </w:p>
    <w:p w:rsidR="005044E2" w:rsidRDefault="005044E2" w:rsidP="00C45634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A62266" w:rsidRPr="005D1275" w:rsidRDefault="00A62266" w:rsidP="00A62266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 w:rsidRPr="005D1275">
        <w:rPr>
          <w:sz w:val="23"/>
          <w:szCs w:val="23"/>
        </w:rPr>
        <w:t xml:space="preserve">H114, </w:t>
      </w:r>
      <w:r w:rsidR="00544EEA">
        <w:rPr>
          <w:sz w:val="23"/>
          <w:szCs w:val="23"/>
        </w:rPr>
        <w:t>“</w:t>
      </w:r>
      <w:r w:rsidRPr="005D1275">
        <w:rPr>
          <w:sz w:val="23"/>
          <w:szCs w:val="23"/>
        </w:rPr>
        <w:t>History of Western Civilization, Part II,</w:t>
      </w:r>
      <w:r w:rsidR="00544EEA">
        <w:rPr>
          <w:sz w:val="23"/>
          <w:szCs w:val="23"/>
        </w:rPr>
        <w:t>”</w:t>
      </w:r>
      <w:r w:rsidRPr="005D1275">
        <w:rPr>
          <w:sz w:val="23"/>
          <w:szCs w:val="23"/>
        </w:rPr>
        <w:t xml:space="preserve"> Spring 2009, Indiana University Purdue University Columbus.</w:t>
      </w:r>
    </w:p>
    <w:p w:rsidR="00A62266" w:rsidRPr="005D1275" w:rsidRDefault="00A62266" w:rsidP="00A62266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A62266" w:rsidRPr="005D1275" w:rsidRDefault="00A62266" w:rsidP="00A62266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 w:rsidRPr="005D1275">
        <w:rPr>
          <w:sz w:val="23"/>
          <w:szCs w:val="23"/>
        </w:rPr>
        <w:t xml:space="preserve">B310, </w:t>
      </w:r>
      <w:r w:rsidR="00544EEA">
        <w:rPr>
          <w:sz w:val="23"/>
          <w:szCs w:val="23"/>
        </w:rPr>
        <w:t>“</w:t>
      </w:r>
      <w:r w:rsidRPr="005D1275">
        <w:rPr>
          <w:sz w:val="23"/>
          <w:szCs w:val="23"/>
        </w:rPr>
        <w:t>British History: 1688-Present,</w:t>
      </w:r>
      <w:r w:rsidR="00544EEA">
        <w:rPr>
          <w:sz w:val="23"/>
          <w:szCs w:val="23"/>
        </w:rPr>
        <w:t>”</w:t>
      </w:r>
      <w:r w:rsidRPr="005D1275">
        <w:rPr>
          <w:sz w:val="23"/>
          <w:szCs w:val="23"/>
        </w:rPr>
        <w:t xml:space="preserve"> Fall 2008, Indiana University Purdue University Columbus.</w:t>
      </w:r>
    </w:p>
    <w:p w:rsidR="00A62266" w:rsidRPr="005D1275" w:rsidRDefault="00A62266" w:rsidP="00A62266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A62266" w:rsidRPr="005D1275" w:rsidRDefault="00A62266" w:rsidP="00A62266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 w:rsidRPr="005D1275">
        <w:rPr>
          <w:sz w:val="23"/>
          <w:szCs w:val="23"/>
        </w:rPr>
        <w:t xml:space="preserve">B303, </w:t>
      </w:r>
      <w:r w:rsidR="00544EEA">
        <w:rPr>
          <w:sz w:val="23"/>
          <w:szCs w:val="23"/>
        </w:rPr>
        <w:t>“</w:t>
      </w:r>
      <w:r w:rsidRPr="005D1275">
        <w:rPr>
          <w:sz w:val="23"/>
          <w:szCs w:val="23"/>
        </w:rPr>
        <w:t>God, Guns, and Tea: The British Empire,</w:t>
      </w:r>
      <w:r w:rsidR="00544EEA">
        <w:rPr>
          <w:sz w:val="23"/>
          <w:szCs w:val="23"/>
        </w:rPr>
        <w:t>”</w:t>
      </w:r>
      <w:r w:rsidRPr="005D1275">
        <w:rPr>
          <w:sz w:val="23"/>
          <w:szCs w:val="23"/>
        </w:rPr>
        <w:t xml:space="preserve"> Summer 2007, Indiana University.</w:t>
      </w:r>
    </w:p>
    <w:p w:rsidR="00A62266" w:rsidRDefault="00A62266" w:rsidP="00A62266">
      <w:pPr>
        <w:widowControl w:val="0"/>
        <w:overflowPunct w:val="0"/>
        <w:autoSpaceDE w:val="0"/>
        <w:textAlignment w:val="baseline"/>
        <w:rPr>
          <w:bCs/>
          <w:sz w:val="23"/>
          <w:szCs w:val="23"/>
        </w:rPr>
      </w:pPr>
    </w:p>
    <w:p w:rsidR="0048012F" w:rsidRDefault="0048012F" w:rsidP="00A62266">
      <w:pPr>
        <w:widowControl w:val="0"/>
        <w:overflowPunct w:val="0"/>
        <w:autoSpaceDE w:val="0"/>
        <w:textAlignment w:val="baseline"/>
        <w:rPr>
          <w:bCs/>
          <w:sz w:val="23"/>
          <w:szCs w:val="23"/>
        </w:rPr>
      </w:pPr>
    </w:p>
    <w:p w:rsidR="0048012F" w:rsidRPr="00BF1091" w:rsidRDefault="00F17A9D" w:rsidP="0048012F">
      <w:pPr>
        <w:widowControl w:val="0"/>
        <w:overflowPunct w:val="0"/>
        <w:autoSpaceDE w:val="0"/>
        <w:textAlignment w:val="baseline"/>
        <w:rPr>
          <w:b/>
          <w:smallCaps/>
          <w:sz w:val="19"/>
          <w:szCs w:val="19"/>
        </w:rPr>
      </w:pPr>
      <w:r>
        <w:rPr>
          <w:b/>
          <w:smallCaps/>
          <w:sz w:val="23"/>
          <w:szCs w:val="23"/>
        </w:rPr>
        <w:t xml:space="preserve">Graduate </w:t>
      </w:r>
      <w:r w:rsidR="0048012F">
        <w:rPr>
          <w:b/>
          <w:smallCaps/>
          <w:sz w:val="23"/>
          <w:szCs w:val="23"/>
        </w:rPr>
        <w:t>Thesis Committee Service</w:t>
      </w:r>
    </w:p>
    <w:p w:rsidR="00AB1842" w:rsidRDefault="00AB1842" w:rsidP="0048012F">
      <w:pPr>
        <w:widowControl w:val="0"/>
        <w:overflowPunct w:val="0"/>
        <w:autoSpaceDE w:val="0"/>
        <w:ind w:left="720"/>
        <w:textAlignment w:val="baseline"/>
        <w:rPr>
          <w:bCs/>
          <w:sz w:val="23"/>
          <w:szCs w:val="23"/>
        </w:rPr>
      </w:pPr>
    </w:p>
    <w:p w:rsidR="009C1165" w:rsidRPr="009C1165" w:rsidRDefault="009C1165" w:rsidP="009C1165">
      <w:pPr>
        <w:widowControl w:val="0"/>
        <w:overflowPunct w:val="0"/>
        <w:autoSpaceDE w:val="0"/>
        <w:ind w:left="720"/>
        <w:textAlignment w:val="baseline"/>
        <w:rPr>
          <w:bCs/>
          <w:sz w:val="23"/>
          <w:szCs w:val="23"/>
        </w:rPr>
      </w:pPr>
      <w:r w:rsidRPr="009C1165">
        <w:rPr>
          <w:bCs/>
          <w:sz w:val="23"/>
          <w:szCs w:val="23"/>
        </w:rPr>
        <w:t>Reader: Virginia Jarrell, “‘To Walk With You Through Vanity Fair’:</w:t>
      </w:r>
    </w:p>
    <w:p w:rsidR="009C1165" w:rsidRPr="009C1165" w:rsidRDefault="009C1165" w:rsidP="009C1165">
      <w:pPr>
        <w:widowControl w:val="0"/>
        <w:overflowPunct w:val="0"/>
        <w:autoSpaceDE w:val="0"/>
        <w:ind w:left="720"/>
        <w:textAlignment w:val="baseline"/>
        <w:rPr>
          <w:bCs/>
          <w:sz w:val="23"/>
          <w:szCs w:val="23"/>
        </w:rPr>
      </w:pPr>
      <w:r w:rsidRPr="009C1165">
        <w:rPr>
          <w:bCs/>
          <w:sz w:val="23"/>
          <w:szCs w:val="23"/>
        </w:rPr>
        <w:t>Satire and Sentiment in Dickens, Trollope, Gaskell, and Thackeray,” Ph.D. Thesis, Department of English, Baylor University, anticipated May, 2016.</w:t>
      </w:r>
    </w:p>
    <w:p w:rsidR="009C1165" w:rsidRDefault="009C1165" w:rsidP="0048012F">
      <w:pPr>
        <w:widowControl w:val="0"/>
        <w:overflowPunct w:val="0"/>
        <w:autoSpaceDE w:val="0"/>
        <w:ind w:left="720"/>
        <w:textAlignment w:val="baseline"/>
        <w:rPr>
          <w:bCs/>
          <w:sz w:val="23"/>
          <w:szCs w:val="23"/>
        </w:rPr>
      </w:pPr>
    </w:p>
    <w:p w:rsidR="00675F49" w:rsidRDefault="00675F49" w:rsidP="00DD33C8">
      <w:pPr>
        <w:widowControl w:val="0"/>
        <w:overflowPunct w:val="0"/>
        <w:autoSpaceDE w:val="0"/>
        <w:ind w:left="720"/>
        <w:textAlignment w:val="baseline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Director: Morrissey Pickles, M.A. Thesis, Department of History, Baylor University, </w:t>
      </w:r>
      <w:r w:rsidR="009C1165">
        <w:rPr>
          <w:bCs/>
          <w:sz w:val="23"/>
          <w:szCs w:val="23"/>
        </w:rPr>
        <w:t>June 3</w:t>
      </w:r>
      <w:r>
        <w:rPr>
          <w:bCs/>
          <w:sz w:val="23"/>
          <w:szCs w:val="23"/>
        </w:rPr>
        <w:t>, 2015.</w:t>
      </w:r>
    </w:p>
    <w:p w:rsidR="000D5AF4" w:rsidRDefault="000D5AF4" w:rsidP="009C1165">
      <w:pPr>
        <w:widowControl w:val="0"/>
        <w:overflowPunct w:val="0"/>
        <w:autoSpaceDE w:val="0"/>
        <w:textAlignment w:val="baseline"/>
        <w:rPr>
          <w:bCs/>
          <w:sz w:val="23"/>
          <w:szCs w:val="23"/>
        </w:rPr>
      </w:pPr>
    </w:p>
    <w:p w:rsidR="00A96514" w:rsidRDefault="00881D61" w:rsidP="0048012F">
      <w:pPr>
        <w:widowControl w:val="0"/>
        <w:overflowPunct w:val="0"/>
        <w:autoSpaceDE w:val="0"/>
        <w:ind w:left="720"/>
        <w:textAlignment w:val="baseline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Reader: Robert DeBoard, </w:t>
      </w:r>
      <w:r w:rsidR="00544EEA">
        <w:rPr>
          <w:bCs/>
          <w:sz w:val="23"/>
          <w:szCs w:val="23"/>
        </w:rPr>
        <w:t>“</w:t>
      </w:r>
      <w:r w:rsidR="00244B50">
        <w:rPr>
          <w:bCs/>
          <w:sz w:val="23"/>
          <w:szCs w:val="23"/>
        </w:rPr>
        <w:t>Policing Palestine: British Security Strategy in Palestine, 1917-1948,</w:t>
      </w:r>
      <w:r w:rsidR="00544EEA">
        <w:rPr>
          <w:bCs/>
          <w:sz w:val="23"/>
          <w:szCs w:val="23"/>
        </w:rPr>
        <w:t>”</w:t>
      </w:r>
      <w:r w:rsidR="00244B50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M.A. Thesis, </w:t>
      </w:r>
      <w:r w:rsidR="000D5AF4" w:rsidRPr="000D5AF4">
        <w:rPr>
          <w:bCs/>
          <w:sz w:val="23"/>
          <w:szCs w:val="23"/>
        </w:rPr>
        <w:t xml:space="preserve">Department of History, Baylor University, </w:t>
      </w:r>
      <w:r>
        <w:rPr>
          <w:bCs/>
          <w:sz w:val="23"/>
          <w:szCs w:val="23"/>
        </w:rPr>
        <w:t>May 7, 2013.</w:t>
      </w:r>
    </w:p>
    <w:p w:rsidR="00A96514" w:rsidRDefault="00A96514" w:rsidP="0048012F">
      <w:pPr>
        <w:widowControl w:val="0"/>
        <w:overflowPunct w:val="0"/>
        <w:autoSpaceDE w:val="0"/>
        <w:ind w:left="720"/>
        <w:textAlignment w:val="baseline"/>
        <w:rPr>
          <w:bCs/>
          <w:sz w:val="23"/>
          <w:szCs w:val="23"/>
        </w:rPr>
      </w:pPr>
    </w:p>
    <w:p w:rsidR="005B3CC9" w:rsidRDefault="005B3CC9" w:rsidP="0048012F">
      <w:pPr>
        <w:widowControl w:val="0"/>
        <w:overflowPunct w:val="0"/>
        <w:autoSpaceDE w:val="0"/>
        <w:ind w:left="720"/>
        <w:textAlignment w:val="baseline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Reader: Jonathan Riddle, </w:t>
      </w:r>
      <w:r w:rsidR="00544EEA">
        <w:rPr>
          <w:bCs/>
          <w:sz w:val="23"/>
          <w:szCs w:val="23"/>
        </w:rPr>
        <w:t>“</w:t>
      </w:r>
      <w:r w:rsidRPr="005B3CC9">
        <w:rPr>
          <w:bCs/>
          <w:sz w:val="23"/>
          <w:szCs w:val="23"/>
        </w:rPr>
        <w:t>Body, Soul, and Bible: A Religious History of Nineteen</w:t>
      </w:r>
      <w:r>
        <w:rPr>
          <w:bCs/>
          <w:sz w:val="23"/>
          <w:szCs w:val="23"/>
        </w:rPr>
        <w:t>th-Century Physiological Reform,</w:t>
      </w:r>
      <w:r w:rsidR="00544EEA">
        <w:rPr>
          <w:bCs/>
          <w:sz w:val="23"/>
          <w:szCs w:val="23"/>
        </w:rPr>
        <w:t>”</w:t>
      </w:r>
      <w:r>
        <w:rPr>
          <w:bCs/>
          <w:sz w:val="23"/>
          <w:szCs w:val="23"/>
        </w:rPr>
        <w:t xml:space="preserve"> M.A. Thesis, </w:t>
      </w:r>
      <w:r w:rsidR="000D5AF4" w:rsidRPr="000D5AF4">
        <w:rPr>
          <w:bCs/>
          <w:sz w:val="23"/>
          <w:szCs w:val="23"/>
        </w:rPr>
        <w:t xml:space="preserve">Department of History, Baylor University, </w:t>
      </w:r>
      <w:r>
        <w:rPr>
          <w:bCs/>
          <w:sz w:val="23"/>
          <w:szCs w:val="23"/>
        </w:rPr>
        <w:t>April 15, 2013.</w:t>
      </w:r>
    </w:p>
    <w:p w:rsidR="005B3CC9" w:rsidRDefault="005B3CC9" w:rsidP="0048012F">
      <w:pPr>
        <w:widowControl w:val="0"/>
        <w:overflowPunct w:val="0"/>
        <w:autoSpaceDE w:val="0"/>
        <w:ind w:left="720"/>
        <w:textAlignment w:val="baseline"/>
        <w:rPr>
          <w:bCs/>
          <w:sz w:val="23"/>
          <w:szCs w:val="23"/>
        </w:rPr>
      </w:pPr>
    </w:p>
    <w:p w:rsidR="0048012F" w:rsidRDefault="00AB1842" w:rsidP="0048012F">
      <w:pPr>
        <w:widowControl w:val="0"/>
        <w:overflowPunct w:val="0"/>
        <w:autoSpaceDE w:val="0"/>
        <w:ind w:left="720"/>
        <w:textAlignment w:val="baseline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Reader: </w:t>
      </w:r>
      <w:r w:rsidR="0048012F">
        <w:rPr>
          <w:bCs/>
          <w:sz w:val="23"/>
          <w:szCs w:val="23"/>
        </w:rPr>
        <w:t xml:space="preserve">Sarah Dodson, </w:t>
      </w:r>
      <w:r w:rsidR="00544EEA">
        <w:rPr>
          <w:bCs/>
          <w:sz w:val="23"/>
          <w:szCs w:val="23"/>
        </w:rPr>
        <w:t>“</w:t>
      </w:r>
      <w:r w:rsidR="0048012F" w:rsidRPr="0048012F">
        <w:rPr>
          <w:bCs/>
          <w:sz w:val="23"/>
          <w:szCs w:val="23"/>
        </w:rPr>
        <w:t>Labels on the Altar: The Convergence of Worship and Learning in British Church Museums</w:t>
      </w:r>
      <w:r w:rsidR="0048012F">
        <w:rPr>
          <w:bCs/>
          <w:sz w:val="23"/>
          <w:szCs w:val="23"/>
        </w:rPr>
        <w:t>,</w:t>
      </w:r>
      <w:r w:rsidR="00544EEA">
        <w:rPr>
          <w:bCs/>
          <w:sz w:val="23"/>
          <w:szCs w:val="23"/>
        </w:rPr>
        <w:t>”</w:t>
      </w:r>
      <w:r w:rsidR="0048012F">
        <w:rPr>
          <w:bCs/>
          <w:sz w:val="23"/>
          <w:szCs w:val="23"/>
        </w:rPr>
        <w:t xml:space="preserve"> M.A.</w:t>
      </w:r>
      <w:r w:rsidR="005B3CC9">
        <w:rPr>
          <w:bCs/>
          <w:sz w:val="23"/>
          <w:szCs w:val="23"/>
        </w:rPr>
        <w:t xml:space="preserve"> Thesis</w:t>
      </w:r>
      <w:r w:rsidR="0048012F">
        <w:rPr>
          <w:bCs/>
          <w:sz w:val="23"/>
          <w:szCs w:val="23"/>
        </w:rPr>
        <w:t xml:space="preserve">, Department of Museum Studies, </w:t>
      </w:r>
      <w:r w:rsidR="000D5AF4">
        <w:rPr>
          <w:bCs/>
          <w:sz w:val="23"/>
          <w:szCs w:val="23"/>
        </w:rPr>
        <w:t xml:space="preserve">Baylor University, </w:t>
      </w:r>
      <w:r w:rsidR="0048012F" w:rsidRPr="0048012F">
        <w:rPr>
          <w:bCs/>
          <w:sz w:val="23"/>
          <w:szCs w:val="23"/>
        </w:rPr>
        <w:t>March 4, 2013</w:t>
      </w:r>
      <w:r w:rsidR="0048012F">
        <w:rPr>
          <w:bCs/>
          <w:sz w:val="23"/>
          <w:szCs w:val="23"/>
        </w:rPr>
        <w:t>.</w:t>
      </w:r>
    </w:p>
    <w:p w:rsidR="006E72CE" w:rsidRDefault="006E72CE" w:rsidP="00A62266">
      <w:pPr>
        <w:widowControl w:val="0"/>
        <w:overflowPunct w:val="0"/>
        <w:autoSpaceDE w:val="0"/>
        <w:textAlignment w:val="baseline"/>
        <w:rPr>
          <w:bCs/>
          <w:sz w:val="23"/>
          <w:szCs w:val="23"/>
        </w:rPr>
      </w:pPr>
    </w:p>
    <w:p w:rsidR="00175E6D" w:rsidRDefault="00175E6D" w:rsidP="00F17A9D">
      <w:pPr>
        <w:widowControl w:val="0"/>
        <w:overflowPunct w:val="0"/>
        <w:autoSpaceDE w:val="0"/>
        <w:textAlignment w:val="baseline"/>
        <w:rPr>
          <w:b/>
          <w:smallCaps/>
          <w:sz w:val="23"/>
          <w:szCs w:val="23"/>
        </w:rPr>
      </w:pPr>
    </w:p>
    <w:p w:rsidR="00F17A9D" w:rsidRPr="00BF1091" w:rsidRDefault="00F17A9D" w:rsidP="00F17A9D">
      <w:pPr>
        <w:widowControl w:val="0"/>
        <w:overflowPunct w:val="0"/>
        <w:autoSpaceDE w:val="0"/>
        <w:textAlignment w:val="baseline"/>
        <w:rPr>
          <w:b/>
          <w:smallCaps/>
          <w:sz w:val="19"/>
          <w:szCs w:val="19"/>
        </w:rPr>
      </w:pPr>
      <w:r>
        <w:rPr>
          <w:b/>
          <w:smallCaps/>
          <w:sz w:val="23"/>
          <w:szCs w:val="23"/>
        </w:rPr>
        <w:t>Undergraduate Thesis Committee Service</w:t>
      </w:r>
    </w:p>
    <w:p w:rsidR="00F17A9D" w:rsidRDefault="00F17A9D" w:rsidP="00A62266">
      <w:pPr>
        <w:widowControl w:val="0"/>
        <w:overflowPunct w:val="0"/>
        <w:autoSpaceDE w:val="0"/>
        <w:textAlignment w:val="baseline"/>
        <w:rPr>
          <w:bCs/>
          <w:sz w:val="23"/>
          <w:szCs w:val="23"/>
        </w:rPr>
      </w:pPr>
    </w:p>
    <w:p w:rsidR="00175E6D" w:rsidRDefault="00175E6D" w:rsidP="00175E6D">
      <w:pPr>
        <w:widowControl w:val="0"/>
        <w:overflowPunct w:val="0"/>
        <w:autoSpaceDE w:val="0"/>
        <w:ind w:left="720"/>
        <w:textAlignment w:val="baseline"/>
        <w:rPr>
          <w:bCs/>
          <w:sz w:val="23"/>
          <w:szCs w:val="23"/>
        </w:rPr>
      </w:pPr>
      <w:r>
        <w:rPr>
          <w:bCs/>
          <w:sz w:val="23"/>
          <w:szCs w:val="23"/>
        </w:rPr>
        <w:t>Director: Laura Mahler, Honors Thesis, Department of History, Baylor University, anticipated May, 2016.</w:t>
      </w:r>
    </w:p>
    <w:p w:rsidR="00175E6D" w:rsidRDefault="00175E6D" w:rsidP="00175E6D">
      <w:pPr>
        <w:widowControl w:val="0"/>
        <w:overflowPunct w:val="0"/>
        <w:autoSpaceDE w:val="0"/>
        <w:ind w:left="720"/>
        <w:textAlignment w:val="baseline"/>
        <w:rPr>
          <w:bCs/>
          <w:sz w:val="23"/>
          <w:szCs w:val="23"/>
        </w:rPr>
      </w:pPr>
    </w:p>
    <w:p w:rsidR="009656CE" w:rsidRDefault="009656CE" w:rsidP="00175E6D">
      <w:pPr>
        <w:widowControl w:val="0"/>
        <w:overflowPunct w:val="0"/>
        <w:autoSpaceDE w:val="0"/>
        <w:ind w:left="720"/>
        <w:textAlignment w:val="baseline"/>
        <w:rPr>
          <w:bCs/>
          <w:sz w:val="23"/>
          <w:szCs w:val="23"/>
        </w:rPr>
      </w:pPr>
      <w:r>
        <w:rPr>
          <w:bCs/>
          <w:sz w:val="23"/>
          <w:szCs w:val="23"/>
        </w:rPr>
        <w:t>Reader: T. J. Neathery, “All the Living and the Dead,” Honors Thesis, Department of English, Baylor University, April 23, 2015.</w:t>
      </w:r>
    </w:p>
    <w:p w:rsidR="009656CE" w:rsidRDefault="009656CE" w:rsidP="00175E6D">
      <w:pPr>
        <w:widowControl w:val="0"/>
        <w:overflowPunct w:val="0"/>
        <w:autoSpaceDE w:val="0"/>
        <w:ind w:left="720"/>
        <w:textAlignment w:val="baseline"/>
        <w:rPr>
          <w:bCs/>
          <w:sz w:val="23"/>
          <w:szCs w:val="23"/>
        </w:rPr>
      </w:pPr>
    </w:p>
    <w:p w:rsidR="00175E6D" w:rsidRPr="00175E6D" w:rsidRDefault="00175E6D" w:rsidP="00175E6D">
      <w:pPr>
        <w:widowControl w:val="0"/>
        <w:overflowPunct w:val="0"/>
        <w:autoSpaceDE w:val="0"/>
        <w:ind w:left="720"/>
        <w:textAlignment w:val="baseline"/>
        <w:rPr>
          <w:bCs/>
          <w:sz w:val="23"/>
          <w:szCs w:val="23"/>
        </w:rPr>
      </w:pPr>
      <w:r w:rsidRPr="00175E6D">
        <w:rPr>
          <w:bCs/>
          <w:sz w:val="23"/>
          <w:szCs w:val="23"/>
        </w:rPr>
        <w:t xml:space="preserve">Reader: Sarah Cook, </w:t>
      </w:r>
      <w:r w:rsidR="00544EEA">
        <w:rPr>
          <w:bCs/>
          <w:sz w:val="23"/>
          <w:szCs w:val="23"/>
        </w:rPr>
        <w:t>“</w:t>
      </w:r>
      <w:r w:rsidRPr="00175E6D">
        <w:rPr>
          <w:bCs/>
          <w:sz w:val="23"/>
          <w:szCs w:val="23"/>
        </w:rPr>
        <w:t>Britain and Russia: A Historical Comparison of Two Great Empires,</w:t>
      </w:r>
      <w:r w:rsidR="00544EEA">
        <w:rPr>
          <w:bCs/>
          <w:sz w:val="23"/>
          <w:szCs w:val="23"/>
        </w:rPr>
        <w:t>”</w:t>
      </w:r>
      <w:r w:rsidRPr="00175E6D">
        <w:rPr>
          <w:bCs/>
          <w:sz w:val="23"/>
          <w:szCs w:val="23"/>
        </w:rPr>
        <w:t xml:space="preserve"> Honors Thesis, Department of History, Baylor University, April 8, 2013.</w:t>
      </w:r>
    </w:p>
    <w:p w:rsidR="00175E6D" w:rsidRDefault="00175E6D" w:rsidP="00A62266">
      <w:pPr>
        <w:widowControl w:val="0"/>
        <w:overflowPunct w:val="0"/>
        <w:autoSpaceDE w:val="0"/>
        <w:textAlignment w:val="baseline"/>
        <w:rPr>
          <w:bCs/>
          <w:sz w:val="23"/>
          <w:szCs w:val="23"/>
        </w:rPr>
      </w:pPr>
    </w:p>
    <w:p w:rsidR="0048012F" w:rsidRDefault="0048012F" w:rsidP="00A62266">
      <w:pPr>
        <w:widowControl w:val="0"/>
        <w:overflowPunct w:val="0"/>
        <w:autoSpaceDE w:val="0"/>
        <w:textAlignment w:val="baseline"/>
        <w:rPr>
          <w:bCs/>
          <w:sz w:val="23"/>
          <w:szCs w:val="23"/>
        </w:rPr>
      </w:pPr>
    </w:p>
    <w:p w:rsidR="006E72CE" w:rsidRPr="00BF1091" w:rsidRDefault="0048012F" w:rsidP="006E72CE">
      <w:pPr>
        <w:widowControl w:val="0"/>
        <w:overflowPunct w:val="0"/>
        <w:autoSpaceDE w:val="0"/>
        <w:textAlignment w:val="baseline"/>
        <w:rPr>
          <w:b/>
          <w:smallCaps/>
          <w:sz w:val="19"/>
          <w:szCs w:val="19"/>
        </w:rPr>
      </w:pPr>
      <w:r>
        <w:rPr>
          <w:b/>
          <w:smallCaps/>
          <w:sz w:val="23"/>
          <w:szCs w:val="23"/>
        </w:rPr>
        <w:t xml:space="preserve">Department of History </w:t>
      </w:r>
      <w:r w:rsidR="006E72CE" w:rsidRPr="00BF1091">
        <w:rPr>
          <w:b/>
          <w:smallCaps/>
          <w:sz w:val="23"/>
          <w:szCs w:val="23"/>
        </w:rPr>
        <w:t>Service</w:t>
      </w:r>
    </w:p>
    <w:p w:rsidR="006E72CE" w:rsidRDefault="006E72CE" w:rsidP="006E72CE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912956" w:rsidRDefault="00912956" w:rsidP="001647FD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Member, Graduate Studies Committee, Baylor University, 2014-Present.</w:t>
      </w:r>
    </w:p>
    <w:p w:rsidR="00912956" w:rsidRDefault="00912956" w:rsidP="001647FD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1647FD" w:rsidRDefault="001647FD" w:rsidP="001647FD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Chair, Speakers’ Committee, Baylor University, 2012-</w:t>
      </w:r>
      <w:r w:rsidR="00912956">
        <w:rPr>
          <w:sz w:val="23"/>
          <w:szCs w:val="23"/>
        </w:rPr>
        <w:t>2014</w:t>
      </w:r>
      <w:r>
        <w:rPr>
          <w:sz w:val="23"/>
          <w:szCs w:val="23"/>
        </w:rPr>
        <w:t>.</w:t>
      </w:r>
    </w:p>
    <w:p w:rsidR="001416E9" w:rsidRDefault="001416E9" w:rsidP="0009358B">
      <w:pPr>
        <w:widowControl w:val="0"/>
        <w:overflowPunct w:val="0"/>
        <w:autoSpaceDE w:val="0"/>
        <w:ind w:left="720" w:firstLine="720"/>
        <w:textAlignment w:val="baseline"/>
        <w:rPr>
          <w:sz w:val="23"/>
          <w:szCs w:val="23"/>
        </w:rPr>
      </w:pPr>
    </w:p>
    <w:p w:rsidR="00085864" w:rsidRDefault="00085864" w:rsidP="001647FD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>Member, French History Search Committee, Baylor University, 2013-2014.</w:t>
      </w:r>
    </w:p>
    <w:p w:rsidR="00085864" w:rsidRDefault="00085864" w:rsidP="001647FD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</w:p>
    <w:p w:rsidR="006E72CE" w:rsidRDefault="001647FD" w:rsidP="001647FD">
      <w:pPr>
        <w:widowControl w:val="0"/>
        <w:overflowPunct w:val="0"/>
        <w:autoSpaceDE w:val="0"/>
        <w:ind w:left="720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Member, </w:t>
      </w:r>
      <w:r w:rsidR="006E72CE">
        <w:rPr>
          <w:sz w:val="23"/>
          <w:szCs w:val="23"/>
        </w:rPr>
        <w:t>Speakers’ Committee, Baylor University, 2011-2012.</w:t>
      </w:r>
    </w:p>
    <w:p w:rsidR="006E72CE" w:rsidRDefault="006E72CE" w:rsidP="006E72CE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</w:p>
    <w:p w:rsidR="00ED5708" w:rsidRDefault="00ED5708" w:rsidP="00EF78EE">
      <w:pPr>
        <w:rPr>
          <w:b/>
          <w:sz w:val="23"/>
          <w:szCs w:val="23"/>
        </w:rPr>
      </w:pPr>
    </w:p>
    <w:p w:rsidR="00D24C51" w:rsidRDefault="00D24C51" w:rsidP="00EF78EE">
      <w:pPr>
        <w:rPr>
          <w:sz w:val="23"/>
          <w:szCs w:val="23"/>
        </w:rPr>
      </w:pPr>
      <w:r>
        <w:rPr>
          <w:b/>
          <w:smallCaps/>
          <w:sz w:val="23"/>
          <w:szCs w:val="23"/>
        </w:rPr>
        <w:t>Professional Service</w:t>
      </w:r>
    </w:p>
    <w:p w:rsidR="00D24C51" w:rsidRDefault="00D24C51" w:rsidP="00EF78EE">
      <w:pPr>
        <w:rPr>
          <w:sz w:val="23"/>
          <w:szCs w:val="23"/>
        </w:rPr>
      </w:pPr>
    </w:p>
    <w:p w:rsidR="00D24C51" w:rsidRPr="00D24C51" w:rsidRDefault="00D24C51" w:rsidP="00D24C51">
      <w:pPr>
        <w:ind w:left="720"/>
        <w:rPr>
          <w:sz w:val="23"/>
          <w:szCs w:val="23"/>
        </w:rPr>
      </w:pPr>
      <w:r>
        <w:rPr>
          <w:sz w:val="23"/>
          <w:szCs w:val="23"/>
        </w:rPr>
        <w:t xml:space="preserve">Panel Chair, </w:t>
      </w:r>
      <w:r w:rsidR="00544EEA">
        <w:rPr>
          <w:sz w:val="23"/>
          <w:szCs w:val="23"/>
        </w:rPr>
        <w:t>“</w:t>
      </w:r>
      <w:r w:rsidRPr="00D24C51">
        <w:rPr>
          <w:sz w:val="23"/>
          <w:szCs w:val="23"/>
        </w:rPr>
        <w:t>Working-Class Autobiography and the Culture of Nineteenth-Century Britain</w:t>
      </w:r>
      <w:r>
        <w:rPr>
          <w:sz w:val="23"/>
          <w:szCs w:val="23"/>
        </w:rPr>
        <w:t>,</w:t>
      </w:r>
      <w:r w:rsidR="00544EEA">
        <w:rPr>
          <w:sz w:val="23"/>
          <w:szCs w:val="23"/>
        </w:rPr>
        <w:t>”</w:t>
      </w:r>
      <w:r>
        <w:rPr>
          <w:sz w:val="23"/>
          <w:szCs w:val="23"/>
        </w:rPr>
        <w:t xml:space="preserve"> North American Conference on British Studies, November 2013.</w:t>
      </w:r>
    </w:p>
    <w:p w:rsidR="00D24C51" w:rsidRDefault="00D24C51" w:rsidP="00EF78EE">
      <w:pPr>
        <w:rPr>
          <w:b/>
          <w:smallCaps/>
          <w:sz w:val="23"/>
          <w:szCs w:val="23"/>
        </w:rPr>
      </w:pPr>
    </w:p>
    <w:p w:rsidR="00312F58" w:rsidRDefault="00312F58" w:rsidP="00EF78EE">
      <w:pPr>
        <w:rPr>
          <w:b/>
          <w:smallCaps/>
          <w:sz w:val="23"/>
          <w:szCs w:val="23"/>
        </w:rPr>
      </w:pPr>
    </w:p>
    <w:p w:rsidR="004D0FD9" w:rsidRPr="004D0FD9" w:rsidRDefault="004D0FD9" w:rsidP="00EF78EE">
      <w:pPr>
        <w:rPr>
          <w:b/>
          <w:smallCaps/>
          <w:sz w:val="23"/>
          <w:szCs w:val="23"/>
        </w:rPr>
      </w:pPr>
      <w:r>
        <w:rPr>
          <w:b/>
          <w:smallCaps/>
          <w:sz w:val="23"/>
          <w:szCs w:val="23"/>
        </w:rPr>
        <w:t>Professional Development</w:t>
      </w:r>
    </w:p>
    <w:p w:rsidR="004D0FD9" w:rsidRDefault="004D0FD9" w:rsidP="00EF78EE">
      <w:pPr>
        <w:rPr>
          <w:b/>
          <w:sz w:val="23"/>
          <w:szCs w:val="23"/>
        </w:rPr>
      </w:pPr>
    </w:p>
    <w:p w:rsidR="00246FE5" w:rsidRPr="00246FE5" w:rsidRDefault="00246FE5" w:rsidP="00246FE5">
      <w:pPr>
        <w:ind w:left="720"/>
        <w:rPr>
          <w:sz w:val="23"/>
          <w:szCs w:val="23"/>
        </w:rPr>
      </w:pPr>
      <w:r>
        <w:rPr>
          <w:sz w:val="23"/>
          <w:szCs w:val="23"/>
        </w:rPr>
        <w:t>Summer Faculty Institute, Academy of Teaching and Learning, Baylor University, Summer 2014.</w:t>
      </w:r>
    </w:p>
    <w:p w:rsidR="00246FE5" w:rsidRDefault="00246FE5" w:rsidP="00EF78EE">
      <w:pPr>
        <w:rPr>
          <w:b/>
          <w:sz w:val="23"/>
          <w:szCs w:val="23"/>
        </w:rPr>
      </w:pPr>
    </w:p>
    <w:p w:rsidR="004D0FD9" w:rsidRDefault="004D0FD9" w:rsidP="00EF78EE">
      <w:pPr>
        <w:rPr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sz w:val="23"/>
          <w:szCs w:val="23"/>
        </w:rPr>
        <w:t>Communio, In</w:t>
      </w:r>
      <w:r w:rsidR="00BE3C90">
        <w:rPr>
          <w:sz w:val="23"/>
          <w:szCs w:val="23"/>
        </w:rPr>
        <w:t xml:space="preserve">stitute </w:t>
      </w:r>
      <w:r>
        <w:rPr>
          <w:sz w:val="23"/>
          <w:szCs w:val="23"/>
        </w:rPr>
        <w:t>f</w:t>
      </w:r>
      <w:r w:rsidR="00BE3C90">
        <w:rPr>
          <w:sz w:val="23"/>
          <w:szCs w:val="23"/>
        </w:rPr>
        <w:t>or</w:t>
      </w:r>
      <w:r>
        <w:rPr>
          <w:sz w:val="23"/>
          <w:szCs w:val="23"/>
        </w:rPr>
        <w:t xml:space="preserve"> Faith and Learning, Baylor University, Summer 2012.</w:t>
      </w:r>
    </w:p>
    <w:p w:rsidR="004D0FD9" w:rsidRDefault="004D0FD9" w:rsidP="00EF78EE">
      <w:pPr>
        <w:rPr>
          <w:sz w:val="23"/>
          <w:szCs w:val="23"/>
        </w:rPr>
      </w:pPr>
    </w:p>
    <w:p w:rsidR="00FF57B2" w:rsidRDefault="00FF57B2" w:rsidP="00EF78EE">
      <w:pPr>
        <w:rPr>
          <w:sz w:val="23"/>
          <w:szCs w:val="23"/>
        </w:rPr>
      </w:pPr>
    </w:p>
    <w:p w:rsidR="00FF57B2" w:rsidRDefault="00FF57B2" w:rsidP="00FF57B2">
      <w:pPr>
        <w:rPr>
          <w:b/>
          <w:smallCaps/>
          <w:sz w:val="23"/>
          <w:szCs w:val="23"/>
        </w:rPr>
      </w:pPr>
      <w:r>
        <w:rPr>
          <w:b/>
          <w:smallCaps/>
          <w:sz w:val="23"/>
          <w:szCs w:val="23"/>
        </w:rPr>
        <w:t>Community Involvement</w:t>
      </w:r>
    </w:p>
    <w:p w:rsidR="00FF57B2" w:rsidRDefault="00FF57B2" w:rsidP="00FF57B2">
      <w:pPr>
        <w:rPr>
          <w:sz w:val="23"/>
          <w:szCs w:val="23"/>
        </w:rPr>
      </w:pPr>
    </w:p>
    <w:p w:rsidR="00FF57B2" w:rsidRDefault="00FF57B2" w:rsidP="00FF57B2">
      <w:pPr>
        <w:rPr>
          <w:sz w:val="23"/>
          <w:szCs w:val="23"/>
        </w:rPr>
      </w:pPr>
      <w:r>
        <w:rPr>
          <w:sz w:val="23"/>
          <w:szCs w:val="23"/>
        </w:rPr>
        <w:tab/>
        <w:t>Member, First Presbyterian Church, Waco, Tx.</w:t>
      </w:r>
    </w:p>
    <w:p w:rsidR="00FF57B2" w:rsidRDefault="00FF57B2" w:rsidP="00FF57B2">
      <w:pPr>
        <w:rPr>
          <w:sz w:val="23"/>
          <w:szCs w:val="23"/>
        </w:rPr>
      </w:pPr>
    </w:p>
    <w:p w:rsidR="00FF57B2" w:rsidRDefault="00FF57B2" w:rsidP="00FF57B2">
      <w:pPr>
        <w:ind w:left="720"/>
        <w:rPr>
          <w:sz w:val="23"/>
          <w:szCs w:val="23"/>
        </w:rPr>
      </w:pPr>
      <w:r>
        <w:rPr>
          <w:sz w:val="23"/>
          <w:szCs w:val="23"/>
        </w:rPr>
        <w:t xml:space="preserve">Public Lecture: </w:t>
      </w:r>
      <w:r w:rsidRPr="007D02A8">
        <w:rPr>
          <w:sz w:val="23"/>
          <w:szCs w:val="23"/>
        </w:rPr>
        <w:t>“British Evangelicals and the Industrial Revolution,”</w:t>
      </w:r>
      <w:r>
        <w:rPr>
          <w:sz w:val="23"/>
          <w:szCs w:val="23"/>
        </w:rPr>
        <w:t xml:space="preserve"> First Fellowship Lecture Series, First Presbyterian Church, Waco, Tx., October 21</w:t>
      </w:r>
      <w:r w:rsidRPr="007D02A8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>, 2012.</w:t>
      </w:r>
    </w:p>
    <w:p w:rsidR="00FF57B2" w:rsidRPr="004D0FD9" w:rsidRDefault="00FF57B2" w:rsidP="00FF57B2">
      <w:pPr>
        <w:rPr>
          <w:sz w:val="23"/>
          <w:szCs w:val="23"/>
        </w:rPr>
      </w:pPr>
    </w:p>
    <w:p w:rsidR="004D0FD9" w:rsidRDefault="004D0FD9" w:rsidP="00EF78EE">
      <w:pPr>
        <w:rPr>
          <w:b/>
          <w:sz w:val="23"/>
          <w:szCs w:val="23"/>
        </w:rPr>
      </w:pPr>
    </w:p>
    <w:p w:rsidR="00EC2D30" w:rsidRPr="00BF1091" w:rsidRDefault="00BF1091" w:rsidP="00EF78EE">
      <w:pPr>
        <w:rPr>
          <w:b/>
          <w:smallCaps/>
          <w:sz w:val="19"/>
          <w:szCs w:val="19"/>
        </w:rPr>
      </w:pPr>
      <w:r w:rsidRPr="00BF1091">
        <w:rPr>
          <w:b/>
          <w:smallCaps/>
          <w:sz w:val="23"/>
          <w:szCs w:val="23"/>
        </w:rPr>
        <w:t>Professional Organizations</w:t>
      </w:r>
    </w:p>
    <w:p w:rsidR="00002DA3" w:rsidRDefault="00002DA3" w:rsidP="00002DA3">
      <w:pPr>
        <w:ind w:firstLine="720"/>
        <w:rPr>
          <w:sz w:val="23"/>
          <w:szCs w:val="23"/>
        </w:rPr>
      </w:pPr>
    </w:p>
    <w:p w:rsidR="00EF78EE" w:rsidRPr="005D1275" w:rsidRDefault="00EF78EE" w:rsidP="00002DA3">
      <w:pPr>
        <w:ind w:firstLine="720"/>
        <w:rPr>
          <w:sz w:val="23"/>
          <w:szCs w:val="23"/>
        </w:rPr>
      </w:pPr>
      <w:r w:rsidRPr="005D1275">
        <w:rPr>
          <w:sz w:val="23"/>
          <w:szCs w:val="23"/>
        </w:rPr>
        <w:t>American Historical Association</w:t>
      </w:r>
    </w:p>
    <w:p w:rsidR="00EF78EE" w:rsidRDefault="00EF78EE" w:rsidP="00002DA3">
      <w:pPr>
        <w:ind w:firstLine="720"/>
        <w:rPr>
          <w:sz w:val="23"/>
          <w:szCs w:val="23"/>
        </w:rPr>
      </w:pPr>
      <w:r w:rsidRPr="005D1275">
        <w:rPr>
          <w:sz w:val="23"/>
          <w:szCs w:val="23"/>
        </w:rPr>
        <w:t>American Society of Church History</w:t>
      </w:r>
    </w:p>
    <w:p w:rsidR="002B4EFB" w:rsidRDefault="002B4EFB" w:rsidP="00002DA3">
      <w:pPr>
        <w:ind w:firstLine="720"/>
        <w:rPr>
          <w:sz w:val="23"/>
          <w:szCs w:val="23"/>
        </w:rPr>
      </w:pPr>
      <w:r>
        <w:rPr>
          <w:sz w:val="23"/>
          <w:szCs w:val="23"/>
        </w:rPr>
        <w:t>Midwest Victorian Studies Association</w:t>
      </w:r>
    </w:p>
    <w:p w:rsidR="00EF78EE" w:rsidRDefault="00EF78EE" w:rsidP="00002DA3">
      <w:pPr>
        <w:ind w:firstLine="720"/>
        <w:rPr>
          <w:sz w:val="23"/>
          <w:szCs w:val="23"/>
        </w:rPr>
      </w:pPr>
      <w:r w:rsidRPr="005D1275">
        <w:rPr>
          <w:sz w:val="23"/>
          <w:szCs w:val="23"/>
        </w:rPr>
        <w:t>North American Conference on British Studies</w:t>
      </w:r>
    </w:p>
    <w:p w:rsidR="00754FF5" w:rsidRDefault="00754FF5" w:rsidP="00002DA3">
      <w:pPr>
        <w:ind w:firstLine="720"/>
        <w:rPr>
          <w:sz w:val="23"/>
          <w:szCs w:val="23"/>
        </w:rPr>
      </w:pPr>
      <w:r>
        <w:rPr>
          <w:sz w:val="23"/>
          <w:szCs w:val="23"/>
        </w:rPr>
        <w:t>North American Victorian Studies Association</w:t>
      </w:r>
    </w:p>
    <w:p w:rsidR="00BC0630" w:rsidRDefault="00BC0630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785FA6" w:rsidRDefault="00785FA6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8C7596" w:rsidRPr="00BF1091" w:rsidRDefault="00BF1091">
      <w:pPr>
        <w:widowControl w:val="0"/>
        <w:overflowPunct w:val="0"/>
        <w:autoSpaceDE w:val="0"/>
        <w:textAlignment w:val="baseline"/>
        <w:rPr>
          <w:smallCaps/>
          <w:sz w:val="19"/>
          <w:szCs w:val="19"/>
        </w:rPr>
      </w:pPr>
      <w:r w:rsidRPr="00BF1091">
        <w:rPr>
          <w:b/>
          <w:smallCaps/>
          <w:sz w:val="23"/>
          <w:szCs w:val="23"/>
        </w:rPr>
        <w:t>Languages</w:t>
      </w:r>
    </w:p>
    <w:p w:rsidR="00002DA3" w:rsidRDefault="00002DA3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201107" w:rsidRDefault="009629B2" w:rsidP="005D3647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  <w:r w:rsidRPr="005D1275">
        <w:rPr>
          <w:sz w:val="23"/>
          <w:szCs w:val="23"/>
        </w:rPr>
        <w:t>Reading proficiency:</w:t>
      </w:r>
      <w:r w:rsidR="00986EA2">
        <w:rPr>
          <w:sz w:val="23"/>
          <w:szCs w:val="23"/>
        </w:rPr>
        <w:t xml:space="preserve"> </w:t>
      </w:r>
      <w:r w:rsidRPr="005D1275">
        <w:rPr>
          <w:sz w:val="23"/>
          <w:szCs w:val="23"/>
        </w:rPr>
        <w:t>French, German, Latin</w:t>
      </w:r>
    </w:p>
    <w:p w:rsidR="00040ADB" w:rsidRDefault="00040ADB" w:rsidP="00040ADB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2A2A35" w:rsidRDefault="002A2A35" w:rsidP="00040ADB">
      <w:pPr>
        <w:widowControl w:val="0"/>
        <w:overflowPunct w:val="0"/>
        <w:autoSpaceDE w:val="0"/>
        <w:textAlignment w:val="baseline"/>
        <w:rPr>
          <w:sz w:val="23"/>
          <w:szCs w:val="23"/>
        </w:rPr>
      </w:pPr>
    </w:p>
    <w:p w:rsidR="00040ADB" w:rsidRPr="00E5066D" w:rsidRDefault="00BF1091" w:rsidP="00040ADB">
      <w:pPr>
        <w:widowControl w:val="0"/>
        <w:overflowPunct w:val="0"/>
        <w:autoSpaceDE w:val="0"/>
        <w:textAlignment w:val="baseline"/>
        <w:rPr>
          <w:smallCaps/>
          <w:sz w:val="23"/>
          <w:szCs w:val="23"/>
        </w:rPr>
      </w:pPr>
      <w:r w:rsidRPr="00E5066D">
        <w:rPr>
          <w:b/>
          <w:smallCaps/>
          <w:sz w:val="23"/>
          <w:szCs w:val="23"/>
        </w:rPr>
        <w:t>References</w:t>
      </w:r>
    </w:p>
    <w:p w:rsidR="00040ADB" w:rsidRPr="00E5066D" w:rsidRDefault="00040ADB" w:rsidP="00040ADB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</w:p>
    <w:p w:rsidR="00040ADB" w:rsidRPr="00445CD6" w:rsidRDefault="00040ADB" w:rsidP="00040ADB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  <w:lang w:val="de-DE"/>
        </w:rPr>
      </w:pPr>
      <w:r w:rsidRPr="00445CD6">
        <w:rPr>
          <w:sz w:val="23"/>
          <w:szCs w:val="23"/>
          <w:lang w:val="de-DE"/>
        </w:rPr>
        <w:t xml:space="preserve">Dror Wahrman – dwahrman@indiana.edu, </w:t>
      </w:r>
      <w:r w:rsidRPr="00445CD6">
        <w:rPr>
          <w:lang w:val="de-DE"/>
        </w:rPr>
        <w:t>(812) 855-1534</w:t>
      </w:r>
    </w:p>
    <w:p w:rsidR="00040ADB" w:rsidRPr="00E5066D" w:rsidRDefault="00040ADB" w:rsidP="00040ADB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  <w:r w:rsidRPr="00E5066D">
        <w:rPr>
          <w:sz w:val="23"/>
          <w:szCs w:val="23"/>
        </w:rPr>
        <w:t xml:space="preserve">Sarah Knott – saknott@indiana.edu, </w:t>
      </w:r>
      <w:r w:rsidRPr="00E5066D">
        <w:t>(812) 856-0092</w:t>
      </w:r>
    </w:p>
    <w:p w:rsidR="00377DB9" w:rsidRPr="008A4683" w:rsidRDefault="00377DB9" w:rsidP="00377DB9">
      <w:pPr>
        <w:widowControl w:val="0"/>
        <w:overflowPunct w:val="0"/>
        <w:autoSpaceDE w:val="0"/>
        <w:ind w:firstLine="720"/>
        <w:textAlignment w:val="baseline"/>
        <w:rPr>
          <w:sz w:val="23"/>
          <w:szCs w:val="23"/>
        </w:rPr>
      </w:pPr>
      <w:r w:rsidRPr="008A4683">
        <w:rPr>
          <w:sz w:val="23"/>
          <w:szCs w:val="23"/>
        </w:rPr>
        <w:t xml:space="preserve">Jeffrey Hamilton – </w:t>
      </w:r>
      <w:r>
        <w:rPr>
          <w:sz w:val="23"/>
          <w:szCs w:val="23"/>
        </w:rPr>
        <w:t>jeffrey_hamilton</w:t>
      </w:r>
      <w:r w:rsidRPr="008A4683">
        <w:rPr>
          <w:sz w:val="23"/>
          <w:szCs w:val="23"/>
        </w:rPr>
        <w:t>@</w:t>
      </w:r>
      <w:r>
        <w:rPr>
          <w:sz w:val="23"/>
          <w:szCs w:val="23"/>
        </w:rPr>
        <w:t>baylor</w:t>
      </w:r>
      <w:r w:rsidRPr="008A4683">
        <w:rPr>
          <w:sz w:val="23"/>
          <w:szCs w:val="23"/>
        </w:rPr>
        <w:t xml:space="preserve">.edu, </w:t>
      </w:r>
      <w:r>
        <w:t>(254) 710-6301</w:t>
      </w:r>
    </w:p>
    <w:p w:rsidR="00040ADB" w:rsidRPr="00E5066D" w:rsidRDefault="00040ADB" w:rsidP="00040ADB">
      <w:pPr>
        <w:widowControl w:val="0"/>
        <w:overflowPunct w:val="0"/>
        <w:autoSpaceDE w:val="0"/>
        <w:textAlignment w:val="baseline"/>
        <w:rPr>
          <w:sz w:val="19"/>
          <w:szCs w:val="19"/>
        </w:rPr>
      </w:pPr>
    </w:p>
    <w:sectPr w:rsidR="00040ADB" w:rsidRPr="00E5066D" w:rsidSect="004D051D">
      <w:headerReference w:type="default" r:id="rId9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D18" w:rsidRDefault="00007D18" w:rsidP="004D051D">
      <w:r>
        <w:separator/>
      </w:r>
    </w:p>
  </w:endnote>
  <w:endnote w:type="continuationSeparator" w:id="0">
    <w:p w:rsidR="00007D18" w:rsidRDefault="00007D18" w:rsidP="004D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D18" w:rsidRDefault="00007D18" w:rsidP="004D051D">
      <w:r>
        <w:separator/>
      </w:r>
    </w:p>
  </w:footnote>
  <w:footnote w:type="continuationSeparator" w:id="0">
    <w:p w:rsidR="00007D18" w:rsidRDefault="00007D18" w:rsidP="004D0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1D" w:rsidRDefault="004D051D">
    <w:pPr>
      <w:pStyle w:val="Header"/>
      <w:jc w:val="right"/>
    </w:pPr>
    <w:r>
      <w:t>Stubenrauch</w:t>
    </w:r>
    <w:r w:rsidR="009D3FD6">
      <w:t xml:space="preserve"> </w:t>
    </w:r>
    <w:sdt>
      <w:sdtPr>
        <w:id w:val="25303222"/>
        <w:docPartObj>
          <w:docPartGallery w:val="Page Numbers (Top of Page)"/>
          <w:docPartUnique/>
        </w:docPartObj>
      </w:sdtPr>
      <w:sdtEndPr/>
      <w:sdtContent>
        <w:r w:rsidR="009447BC">
          <w:fldChar w:fldCharType="begin"/>
        </w:r>
        <w:r w:rsidR="004F125D">
          <w:instrText xml:space="preserve"> PAGE   \* MERGEFORMAT </w:instrText>
        </w:r>
        <w:r w:rsidR="009447BC">
          <w:fldChar w:fldCharType="separate"/>
        </w:r>
        <w:r w:rsidR="001E0DC4">
          <w:rPr>
            <w:noProof/>
          </w:rPr>
          <w:t>4</w:t>
        </w:r>
        <w:r w:rsidR="009447BC">
          <w:rPr>
            <w:noProof/>
          </w:rPr>
          <w:fldChar w:fldCharType="end"/>
        </w:r>
      </w:sdtContent>
    </w:sdt>
  </w:p>
  <w:p w:rsidR="004D051D" w:rsidRDefault="004D051D" w:rsidP="004D051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409CB"/>
    <w:multiLevelType w:val="hybridMultilevel"/>
    <w:tmpl w:val="609CAC12"/>
    <w:lvl w:ilvl="0" w:tplc="07B610B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96"/>
    <w:rsid w:val="00002D06"/>
    <w:rsid w:val="00002DA3"/>
    <w:rsid w:val="00007D18"/>
    <w:rsid w:val="0001133A"/>
    <w:rsid w:val="0001658F"/>
    <w:rsid w:val="00016F6C"/>
    <w:rsid w:val="00032218"/>
    <w:rsid w:val="00040ADB"/>
    <w:rsid w:val="00043143"/>
    <w:rsid w:val="00047EE4"/>
    <w:rsid w:val="00047EF4"/>
    <w:rsid w:val="00076A18"/>
    <w:rsid w:val="00085864"/>
    <w:rsid w:val="00085F4D"/>
    <w:rsid w:val="0009022F"/>
    <w:rsid w:val="0009358B"/>
    <w:rsid w:val="000946AA"/>
    <w:rsid w:val="000A0ED6"/>
    <w:rsid w:val="000A27F8"/>
    <w:rsid w:val="000A4AB4"/>
    <w:rsid w:val="000B2775"/>
    <w:rsid w:val="000B6EB3"/>
    <w:rsid w:val="000C05A9"/>
    <w:rsid w:val="000C0831"/>
    <w:rsid w:val="000C3FEA"/>
    <w:rsid w:val="000C5242"/>
    <w:rsid w:val="000D12F9"/>
    <w:rsid w:val="000D5AF4"/>
    <w:rsid w:val="000E2F5E"/>
    <w:rsid w:val="000E7EC6"/>
    <w:rsid w:val="000F74A1"/>
    <w:rsid w:val="001066B6"/>
    <w:rsid w:val="001168B5"/>
    <w:rsid w:val="00116D84"/>
    <w:rsid w:val="00120F14"/>
    <w:rsid w:val="001261A9"/>
    <w:rsid w:val="00132DD9"/>
    <w:rsid w:val="001416E9"/>
    <w:rsid w:val="001469D8"/>
    <w:rsid w:val="001647FD"/>
    <w:rsid w:val="00164B72"/>
    <w:rsid w:val="00170E05"/>
    <w:rsid w:val="0017252E"/>
    <w:rsid w:val="00175E6D"/>
    <w:rsid w:val="00185CC9"/>
    <w:rsid w:val="001922B5"/>
    <w:rsid w:val="001A3910"/>
    <w:rsid w:val="001D4A7D"/>
    <w:rsid w:val="001E0DC4"/>
    <w:rsid w:val="001E4A48"/>
    <w:rsid w:val="00201107"/>
    <w:rsid w:val="0020239F"/>
    <w:rsid w:val="002120B6"/>
    <w:rsid w:val="002241AF"/>
    <w:rsid w:val="00244B50"/>
    <w:rsid w:val="00246FE5"/>
    <w:rsid w:val="002633FE"/>
    <w:rsid w:val="00263BC3"/>
    <w:rsid w:val="00277578"/>
    <w:rsid w:val="00285338"/>
    <w:rsid w:val="00286EB4"/>
    <w:rsid w:val="002879E3"/>
    <w:rsid w:val="002941BA"/>
    <w:rsid w:val="002958B6"/>
    <w:rsid w:val="002962CF"/>
    <w:rsid w:val="002963CC"/>
    <w:rsid w:val="002A20C5"/>
    <w:rsid w:val="002A2A35"/>
    <w:rsid w:val="002B4EFB"/>
    <w:rsid w:val="002C62F7"/>
    <w:rsid w:val="002D6867"/>
    <w:rsid w:val="002E107A"/>
    <w:rsid w:val="002F01D8"/>
    <w:rsid w:val="002F0DF3"/>
    <w:rsid w:val="0030072D"/>
    <w:rsid w:val="0030217C"/>
    <w:rsid w:val="003035BE"/>
    <w:rsid w:val="00304884"/>
    <w:rsid w:val="003067BD"/>
    <w:rsid w:val="00312F58"/>
    <w:rsid w:val="00323ED8"/>
    <w:rsid w:val="00346815"/>
    <w:rsid w:val="00354ACF"/>
    <w:rsid w:val="00364C0E"/>
    <w:rsid w:val="003729F0"/>
    <w:rsid w:val="0037368F"/>
    <w:rsid w:val="003752C0"/>
    <w:rsid w:val="00375B4A"/>
    <w:rsid w:val="00376186"/>
    <w:rsid w:val="00377DB9"/>
    <w:rsid w:val="003926F9"/>
    <w:rsid w:val="003967CC"/>
    <w:rsid w:val="003973A6"/>
    <w:rsid w:val="003B2E12"/>
    <w:rsid w:val="003B4131"/>
    <w:rsid w:val="003B4356"/>
    <w:rsid w:val="003C4293"/>
    <w:rsid w:val="003D36F0"/>
    <w:rsid w:val="003E0A13"/>
    <w:rsid w:val="003E7587"/>
    <w:rsid w:val="003E76BA"/>
    <w:rsid w:val="003F6D6E"/>
    <w:rsid w:val="003F7F84"/>
    <w:rsid w:val="004146C6"/>
    <w:rsid w:val="00426989"/>
    <w:rsid w:val="0044449C"/>
    <w:rsid w:val="00445CD6"/>
    <w:rsid w:val="00453339"/>
    <w:rsid w:val="00453D6A"/>
    <w:rsid w:val="004556DC"/>
    <w:rsid w:val="00455B14"/>
    <w:rsid w:val="00461A68"/>
    <w:rsid w:val="00464BE6"/>
    <w:rsid w:val="00464EE1"/>
    <w:rsid w:val="004653B5"/>
    <w:rsid w:val="00466F16"/>
    <w:rsid w:val="004705BF"/>
    <w:rsid w:val="00470813"/>
    <w:rsid w:val="00470EA4"/>
    <w:rsid w:val="0048012F"/>
    <w:rsid w:val="00487F3F"/>
    <w:rsid w:val="004A4C06"/>
    <w:rsid w:val="004B4206"/>
    <w:rsid w:val="004B67D1"/>
    <w:rsid w:val="004C3BDA"/>
    <w:rsid w:val="004C7E57"/>
    <w:rsid w:val="004C7F12"/>
    <w:rsid w:val="004D051D"/>
    <w:rsid w:val="004D0FD9"/>
    <w:rsid w:val="004D4D7D"/>
    <w:rsid w:val="004E5C26"/>
    <w:rsid w:val="004F125D"/>
    <w:rsid w:val="004F7D44"/>
    <w:rsid w:val="005024E5"/>
    <w:rsid w:val="005041C4"/>
    <w:rsid w:val="005044E2"/>
    <w:rsid w:val="00520218"/>
    <w:rsid w:val="00544EEA"/>
    <w:rsid w:val="00575CC9"/>
    <w:rsid w:val="00577121"/>
    <w:rsid w:val="00580C75"/>
    <w:rsid w:val="00592675"/>
    <w:rsid w:val="00593E0D"/>
    <w:rsid w:val="005B3CC9"/>
    <w:rsid w:val="005B6D1C"/>
    <w:rsid w:val="005D1275"/>
    <w:rsid w:val="005D3647"/>
    <w:rsid w:val="005D4B0A"/>
    <w:rsid w:val="005E127C"/>
    <w:rsid w:val="005E1E6F"/>
    <w:rsid w:val="005F657D"/>
    <w:rsid w:val="006044DC"/>
    <w:rsid w:val="006125A4"/>
    <w:rsid w:val="0062111D"/>
    <w:rsid w:val="0063151F"/>
    <w:rsid w:val="006328B8"/>
    <w:rsid w:val="00635AAC"/>
    <w:rsid w:val="00637D91"/>
    <w:rsid w:val="00640E59"/>
    <w:rsid w:val="0064394A"/>
    <w:rsid w:val="00644504"/>
    <w:rsid w:val="00647874"/>
    <w:rsid w:val="00652CE1"/>
    <w:rsid w:val="006543ED"/>
    <w:rsid w:val="006631B7"/>
    <w:rsid w:val="00667803"/>
    <w:rsid w:val="0067533B"/>
    <w:rsid w:val="00675F49"/>
    <w:rsid w:val="00676BA4"/>
    <w:rsid w:val="0068073C"/>
    <w:rsid w:val="00680811"/>
    <w:rsid w:val="006920E1"/>
    <w:rsid w:val="00693BA2"/>
    <w:rsid w:val="006B1F5D"/>
    <w:rsid w:val="006B6AC4"/>
    <w:rsid w:val="006C0FB5"/>
    <w:rsid w:val="006C574D"/>
    <w:rsid w:val="006D40BC"/>
    <w:rsid w:val="006D789F"/>
    <w:rsid w:val="006E1B1D"/>
    <w:rsid w:val="006E72CE"/>
    <w:rsid w:val="006F1F1F"/>
    <w:rsid w:val="006F458C"/>
    <w:rsid w:val="006F527E"/>
    <w:rsid w:val="006F5C38"/>
    <w:rsid w:val="006F64F5"/>
    <w:rsid w:val="00705DE5"/>
    <w:rsid w:val="007063EB"/>
    <w:rsid w:val="00710F00"/>
    <w:rsid w:val="00711F15"/>
    <w:rsid w:val="00744805"/>
    <w:rsid w:val="0074530B"/>
    <w:rsid w:val="00754C1A"/>
    <w:rsid w:val="00754FF5"/>
    <w:rsid w:val="007839BB"/>
    <w:rsid w:val="00784C4D"/>
    <w:rsid w:val="00785FA6"/>
    <w:rsid w:val="007954A9"/>
    <w:rsid w:val="00797C07"/>
    <w:rsid w:val="007A48CD"/>
    <w:rsid w:val="007B1C73"/>
    <w:rsid w:val="007B324B"/>
    <w:rsid w:val="007C6FD0"/>
    <w:rsid w:val="007D3034"/>
    <w:rsid w:val="007D648D"/>
    <w:rsid w:val="007E5BC4"/>
    <w:rsid w:val="007F058D"/>
    <w:rsid w:val="007F139B"/>
    <w:rsid w:val="007F23CA"/>
    <w:rsid w:val="007F64D7"/>
    <w:rsid w:val="00800506"/>
    <w:rsid w:val="00805200"/>
    <w:rsid w:val="00806509"/>
    <w:rsid w:val="0081252C"/>
    <w:rsid w:val="0081757A"/>
    <w:rsid w:val="00820736"/>
    <w:rsid w:val="00820828"/>
    <w:rsid w:val="00821E12"/>
    <w:rsid w:val="00821FD7"/>
    <w:rsid w:val="00825D9B"/>
    <w:rsid w:val="00831B75"/>
    <w:rsid w:val="0083291A"/>
    <w:rsid w:val="00832D33"/>
    <w:rsid w:val="0083434E"/>
    <w:rsid w:val="00836087"/>
    <w:rsid w:val="008435B6"/>
    <w:rsid w:val="008443FB"/>
    <w:rsid w:val="00844B45"/>
    <w:rsid w:val="00852253"/>
    <w:rsid w:val="00852453"/>
    <w:rsid w:val="00856597"/>
    <w:rsid w:val="008607C4"/>
    <w:rsid w:val="00863893"/>
    <w:rsid w:val="0086700A"/>
    <w:rsid w:val="00874C83"/>
    <w:rsid w:val="00875907"/>
    <w:rsid w:val="00876309"/>
    <w:rsid w:val="00881D61"/>
    <w:rsid w:val="00887F54"/>
    <w:rsid w:val="00890A18"/>
    <w:rsid w:val="00892C3E"/>
    <w:rsid w:val="00892D7F"/>
    <w:rsid w:val="00895092"/>
    <w:rsid w:val="008A35FA"/>
    <w:rsid w:val="008A4F18"/>
    <w:rsid w:val="008B2586"/>
    <w:rsid w:val="008C1752"/>
    <w:rsid w:val="008C7596"/>
    <w:rsid w:val="008D0A76"/>
    <w:rsid w:val="008D3960"/>
    <w:rsid w:val="008E2702"/>
    <w:rsid w:val="008E7D3E"/>
    <w:rsid w:val="008F2EDE"/>
    <w:rsid w:val="008F53DD"/>
    <w:rsid w:val="00904F60"/>
    <w:rsid w:val="00912956"/>
    <w:rsid w:val="00932D5F"/>
    <w:rsid w:val="009446F0"/>
    <w:rsid w:val="009447BC"/>
    <w:rsid w:val="009629B2"/>
    <w:rsid w:val="009656CE"/>
    <w:rsid w:val="009866DF"/>
    <w:rsid w:val="009869A6"/>
    <w:rsid w:val="00986EA2"/>
    <w:rsid w:val="00997920"/>
    <w:rsid w:val="009A01DF"/>
    <w:rsid w:val="009A2665"/>
    <w:rsid w:val="009C1165"/>
    <w:rsid w:val="009C4D8D"/>
    <w:rsid w:val="009D2F5F"/>
    <w:rsid w:val="009D3FD6"/>
    <w:rsid w:val="009E265F"/>
    <w:rsid w:val="009E769A"/>
    <w:rsid w:val="00A17855"/>
    <w:rsid w:val="00A25E43"/>
    <w:rsid w:val="00A32B87"/>
    <w:rsid w:val="00A45350"/>
    <w:rsid w:val="00A5165E"/>
    <w:rsid w:val="00A5556D"/>
    <w:rsid w:val="00A57584"/>
    <w:rsid w:val="00A62266"/>
    <w:rsid w:val="00A640A9"/>
    <w:rsid w:val="00A749FF"/>
    <w:rsid w:val="00A91C94"/>
    <w:rsid w:val="00A92A6B"/>
    <w:rsid w:val="00A95A3E"/>
    <w:rsid w:val="00A96514"/>
    <w:rsid w:val="00AA2245"/>
    <w:rsid w:val="00AA3206"/>
    <w:rsid w:val="00AA6334"/>
    <w:rsid w:val="00AB1842"/>
    <w:rsid w:val="00AB472E"/>
    <w:rsid w:val="00AC130A"/>
    <w:rsid w:val="00AD1363"/>
    <w:rsid w:val="00AD5EF1"/>
    <w:rsid w:val="00AF62A2"/>
    <w:rsid w:val="00B052C9"/>
    <w:rsid w:val="00B067F6"/>
    <w:rsid w:val="00B101AC"/>
    <w:rsid w:val="00B20F07"/>
    <w:rsid w:val="00B21648"/>
    <w:rsid w:val="00B3516C"/>
    <w:rsid w:val="00B366AE"/>
    <w:rsid w:val="00B41C13"/>
    <w:rsid w:val="00B429BE"/>
    <w:rsid w:val="00B510BC"/>
    <w:rsid w:val="00B702A2"/>
    <w:rsid w:val="00B902FB"/>
    <w:rsid w:val="00B91474"/>
    <w:rsid w:val="00BA3149"/>
    <w:rsid w:val="00BA5A2F"/>
    <w:rsid w:val="00BA7F7A"/>
    <w:rsid w:val="00BB00D4"/>
    <w:rsid w:val="00BB0343"/>
    <w:rsid w:val="00BC0630"/>
    <w:rsid w:val="00BC6B90"/>
    <w:rsid w:val="00BC6C54"/>
    <w:rsid w:val="00BE211D"/>
    <w:rsid w:val="00BE3C90"/>
    <w:rsid w:val="00BE4915"/>
    <w:rsid w:val="00BE5AA5"/>
    <w:rsid w:val="00BE6F97"/>
    <w:rsid w:val="00BE77A2"/>
    <w:rsid w:val="00BF1091"/>
    <w:rsid w:val="00C123DF"/>
    <w:rsid w:val="00C27403"/>
    <w:rsid w:val="00C3247C"/>
    <w:rsid w:val="00C345A8"/>
    <w:rsid w:val="00C35C62"/>
    <w:rsid w:val="00C36057"/>
    <w:rsid w:val="00C42298"/>
    <w:rsid w:val="00C45634"/>
    <w:rsid w:val="00C61496"/>
    <w:rsid w:val="00C80003"/>
    <w:rsid w:val="00C80368"/>
    <w:rsid w:val="00C93CDB"/>
    <w:rsid w:val="00CA16B5"/>
    <w:rsid w:val="00CC3632"/>
    <w:rsid w:val="00CC69EB"/>
    <w:rsid w:val="00CE2FB3"/>
    <w:rsid w:val="00CF33F0"/>
    <w:rsid w:val="00CF5387"/>
    <w:rsid w:val="00D015C7"/>
    <w:rsid w:val="00D11805"/>
    <w:rsid w:val="00D178A5"/>
    <w:rsid w:val="00D24C51"/>
    <w:rsid w:val="00D25705"/>
    <w:rsid w:val="00D325A0"/>
    <w:rsid w:val="00D52CBF"/>
    <w:rsid w:val="00D6538A"/>
    <w:rsid w:val="00D73D55"/>
    <w:rsid w:val="00D746B1"/>
    <w:rsid w:val="00D84FBA"/>
    <w:rsid w:val="00D85DAE"/>
    <w:rsid w:val="00DA3872"/>
    <w:rsid w:val="00DC0224"/>
    <w:rsid w:val="00DC5427"/>
    <w:rsid w:val="00DD02A6"/>
    <w:rsid w:val="00DD2A94"/>
    <w:rsid w:val="00DD33C8"/>
    <w:rsid w:val="00DD352D"/>
    <w:rsid w:val="00DF4842"/>
    <w:rsid w:val="00DF4CC6"/>
    <w:rsid w:val="00DF6426"/>
    <w:rsid w:val="00E02F71"/>
    <w:rsid w:val="00E05142"/>
    <w:rsid w:val="00E1090E"/>
    <w:rsid w:val="00E1174C"/>
    <w:rsid w:val="00E12644"/>
    <w:rsid w:val="00E13183"/>
    <w:rsid w:val="00E31EBE"/>
    <w:rsid w:val="00E45032"/>
    <w:rsid w:val="00E5066D"/>
    <w:rsid w:val="00E53C28"/>
    <w:rsid w:val="00E83A54"/>
    <w:rsid w:val="00E863AB"/>
    <w:rsid w:val="00E86EA2"/>
    <w:rsid w:val="00E9096F"/>
    <w:rsid w:val="00E924D6"/>
    <w:rsid w:val="00EA23E2"/>
    <w:rsid w:val="00EB2DC2"/>
    <w:rsid w:val="00EC0461"/>
    <w:rsid w:val="00EC2D30"/>
    <w:rsid w:val="00ED3CEF"/>
    <w:rsid w:val="00ED5708"/>
    <w:rsid w:val="00EE45DB"/>
    <w:rsid w:val="00EE673D"/>
    <w:rsid w:val="00EF78EE"/>
    <w:rsid w:val="00F10A49"/>
    <w:rsid w:val="00F10CCD"/>
    <w:rsid w:val="00F16F3F"/>
    <w:rsid w:val="00F17A9D"/>
    <w:rsid w:val="00F32E3E"/>
    <w:rsid w:val="00F338B7"/>
    <w:rsid w:val="00F3398F"/>
    <w:rsid w:val="00F42206"/>
    <w:rsid w:val="00F558AB"/>
    <w:rsid w:val="00F57D78"/>
    <w:rsid w:val="00F73FBA"/>
    <w:rsid w:val="00F8727B"/>
    <w:rsid w:val="00F93E42"/>
    <w:rsid w:val="00F94CBB"/>
    <w:rsid w:val="00FA5530"/>
    <w:rsid w:val="00FA61A9"/>
    <w:rsid w:val="00FB532A"/>
    <w:rsid w:val="00FB7B8E"/>
    <w:rsid w:val="00FB7EB1"/>
    <w:rsid w:val="00FC2A36"/>
    <w:rsid w:val="00FC2CCC"/>
    <w:rsid w:val="00FC4082"/>
    <w:rsid w:val="00FD1C98"/>
    <w:rsid w:val="00FD275A"/>
    <w:rsid w:val="00FE462D"/>
    <w:rsid w:val="00FE5716"/>
    <w:rsid w:val="00FE70FE"/>
    <w:rsid w:val="00FF23B0"/>
    <w:rsid w:val="00FF5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453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52453"/>
  </w:style>
  <w:style w:type="character" w:customStyle="1" w:styleId="WW-Absatz-Standardschriftart">
    <w:name w:val="WW-Absatz-Standardschriftart"/>
    <w:rsid w:val="00852453"/>
  </w:style>
  <w:style w:type="character" w:customStyle="1" w:styleId="WW-Absatz-Standardschriftart1">
    <w:name w:val="WW-Absatz-Standardschriftart1"/>
    <w:rsid w:val="00852453"/>
  </w:style>
  <w:style w:type="character" w:customStyle="1" w:styleId="WW-Absatz-Standardschriftart11">
    <w:name w:val="WW-Absatz-Standardschriftart11"/>
    <w:rsid w:val="00852453"/>
  </w:style>
  <w:style w:type="character" w:customStyle="1" w:styleId="WW-Absatz-Standardschriftart111">
    <w:name w:val="WW-Absatz-Standardschriftart111"/>
    <w:rsid w:val="00852453"/>
  </w:style>
  <w:style w:type="paragraph" w:customStyle="1" w:styleId="Heading">
    <w:name w:val="Heading"/>
    <w:basedOn w:val="Normal"/>
    <w:next w:val="BodyText"/>
    <w:rsid w:val="008524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852453"/>
    <w:pPr>
      <w:spacing w:after="120"/>
    </w:pPr>
  </w:style>
  <w:style w:type="paragraph" w:styleId="List">
    <w:name w:val="List"/>
    <w:basedOn w:val="BodyText"/>
    <w:semiHidden/>
    <w:rsid w:val="00852453"/>
    <w:rPr>
      <w:rFonts w:cs="Tahoma"/>
    </w:rPr>
  </w:style>
  <w:style w:type="paragraph" w:styleId="Caption">
    <w:name w:val="caption"/>
    <w:basedOn w:val="Normal"/>
    <w:qFormat/>
    <w:rsid w:val="0085245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52453"/>
    <w:pPr>
      <w:suppressLineNumbers/>
    </w:pPr>
    <w:rPr>
      <w:rFonts w:cs="Tahoma"/>
    </w:rPr>
  </w:style>
  <w:style w:type="paragraph" w:styleId="BalloonText">
    <w:name w:val="Balloon Text"/>
    <w:basedOn w:val="Normal"/>
    <w:rsid w:val="008524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12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0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51D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D0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51D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51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453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52453"/>
  </w:style>
  <w:style w:type="character" w:customStyle="1" w:styleId="WW-Absatz-Standardschriftart">
    <w:name w:val="WW-Absatz-Standardschriftart"/>
    <w:rsid w:val="00852453"/>
  </w:style>
  <w:style w:type="character" w:customStyle="1" w:styleId="WW-Absatz-Standardschriftart1">
    <w:name w:val="WW-Absatz-Standardschriftart1"/>
    <w:rsid w:val="00852453"/>
  </w:style>
  <w:style w:type="character" w:customStyle="1" w:styleId="WW-Absatz-Standardschriftart11">
    <w:name w:val="WW-Absatz-Standardschriftart11"/>
    <w:rsid w:val="00852453"/>
  </w:style>
  <w:style w:type="character" w:customStyle="1" w:styleId="WW-Absatz-Standardschriftart111">
    <w:name w:val="WW-Absatz-Standardschriftart111"/>
    <w:rsid w:val="00852453"/>
  </w:style>
  <w:style w:type="paragraph" w:customStyle="1" w:styleId="Heading">
    <w:name w:val="Heading"/>
    <w:basedOn w:val="Normal"/>
    <w:next w:val="BodyText"/>
    <w:rsid w:val="008524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852453"/>
    <w:pPr>
      <w:spacing w:after="120"/>
    </w:pPr>
  </w:style>
  <w:style w:type="paragraph" w:styleId="List">
    <w:name w:val="List"/>
    <w:basedOn w:val="BodyText"/>
    <w:semiHidden/>
    <w:rsid w:val="00852453"/>
    <w:rPr>
      <w:rFonts w:cs="Tahoma"/>
    </w:rPr>
  </w:style>
  <w:style w:type="paragraph" w:styleId="Caption">
    <w:name w:val="caption"/>
    <w:basedOn w:val="Normal"/>
    <w:qFormat/>
    <w:rsid w:val="0085245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52453"/>
    <w:pPr>
      <w:suppressLineNumbers/>
    </w:pPr>
    <w:rPr>
      <w:rFonts w:cs="Tahoma"/>
    </w:rPr>
  </w:style>
  <w:style w:type="paragraph" w:styleId="BalloonText">
    <w:name w:val="Balloon Text"/>
    <w:basedOn w:val="Normal"/>
    <w:rsid w:val="008524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12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0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51D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D0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51D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51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4A4BF-AA61-436A-9B42-C9ECB9FF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am applying for the Editorial Assistant position as a specialist in Western Europe at the American Historical Review because</vt:lpstr>
    </vt:vector>
  </TitlesOfParts>
  <Company/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applying for the Editorial Assistant position as a specialist in Western Europe at the American Historical Review because</dc:title>
  <dc:creator>student</dc:creator>
  <cp:lastModifiedBy>Administrator</cp:lastModifiedBy>
  <cp:revision>2</cp:revision>
  <cp:lastPrinted>2012-09-26T21:04:00Z</cp:lastPrinted>
  <dcterms:created xsi:type="dcterms:W3CDTF">2015-08-21T21:18:00Z</dcterms:created>
  <dcterms:modified xsi:type="dcterms:W3CDTF">2015-08-21T21:18:00Z</dcterms:modified>
</cp:coreProperties>
</file>