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7B7D615" w14:textId="77777777" w:rsidR="00507931" w:rsidRDefault="00507931">
      <w:pPr>
        <w:spacing w:line="276" w:lineRule="auto"/>
        <w:rPr>
          <w:rFonts w:ascii="Arial" w:eastAsia="Arial" w:hAnsi="Arial" w:cs="Arial"/>
          <w:sz w:val="22"/>
          <w:szCs w:val="22"/>
        </w:rPr>
      </w:pPr>
    </w:p>
    <w:tbl>
      <w:tblPr>
        <w:tblStyle w:val="a"/>
        <w:tblW w:w="10350" w:type="dxa"/>
        <w:tblInd w:w="-97" w:type="dxa"/>
        <w:tblBorders>
          <w:top w:val="nil"/>
          <w:left w:val="nil"/>
          <w:bottom w:val="nil"/>
          <w:right w:val="nil"/>
          <w:insideH w:val="nil"/>
          <w:insideV w:val="nil"/>
        </w:tblBorders>
        <w:tblLayout w:type="fixed"/>
        <w:tblLook w:val="0400" w:firstRow="0" w:lastRow="0" w:firstColumn="0" w:lastColumn="0" w:noHBand="0" w:noVBand="1"/>
      </w:tblPr>
      <w:tblGrid>
        <w:gridCol w:w="8370"/>
        <w:gridCol w:w="1980"/>
      </w:tblGrid>
      <w:tr w:rsidR="00507931" w14:paraId="398A1FDC" w14:textId="77777777">
        <w:tc>
          <w:tcPr>
            <w:tcW w:w="8370" w:type="dxa"/>
          </w:tcPr>
          <w:p w14:paraId="429CC1AA" w14:textId="77777777" w:rsidR="00507931" w:rsidRDefault="009A2E9A">
            <w:pPr>
              <w:pStyle w:val="Subtitle"/>
              <w:contextualSpacing w:val="0"/>
              <w:rPr>
                <w:rFonts w:ascii="Times New Roman" w:eastAsia="Times New Roman" w:hAnsi="Times New Roman" w:cs="Times New Roman"/>
                <w:color w:val="7030A0"/>
              </w:rPr>
            </w:pPr>
            <w:r>
              <w:rPr>
                <w:rFonts w:ascii="Times New Roman" w:eastAsia="Times New Roman" w:hAnsi="Times New Roman" w:cs="Times New Roman"/>
                <w:color w:val="7030A0"/>
              </w:rPr>
              <w:t>ABILENE CHRISTIAN UNIVERSITY</w:t>
            </w:r>
          </w:p>
          <w:p w14:paraId="12BE6F07" w14:textId="77777777" w:rsidR="00507931" w:rsidRDefault="009A2E9A">
            <w:pPr>
              <w:pStyle w:val="Subtitle"/>
              <w:contextualSpacing w:val="0"/>
              <w:rPr>
                <w:rFonts w:ascii="Times New Roman" w:eastAsia="Times New Roman" w:hAnsi="Times New Roman" w:cs="Times New Roman"/>
                <w:color w:val="7030A0"/>
              </w:rPr>
            </w:pPr>
            <w:r>
              <w:rPr>
                <w:rFonts w:ascii="Times New Roman" w:eastAsia="Times New Roman" w:hAnsi="Times New Roman" w:cs="Times New Roman"/>
                <w:color w:val="7030A0"/>
              </w:rPr>
              <w:t>COLLEGE OF BUSINESS ADMINISTRATION</w:t>
            </w:r>
          </w:p>
          <w:p w14:paraId="2EB611F9" w14:textId="77777777" w:rsidR="00507931" w:rsidRDefault="009A2E9A">
            <w:pPr>
              <w:pStyle w:val="Subtitle"/>
              <w:contextualSpacing w:val="0"/>
              <w:rPr>
                <w:rFonts w:ascii="Times New Roman" w:eastAsia="Times New Roman" w:hAnsi="Times New Roman" w:cs="Times New Roman"/>
                <w:i w:val="0"/>
                <w:color w:val="7030A0"/>
                <w:sz w:val="28"/>
                <w:szCs w:val="28"/>
              </w:rPr>
            </w:pPr>
            <w:r>
              <w:rPr>
                <w:rFonts w:ascii="Times New Roman" w:eastAsia="Times New Roman" w:hAnsi="Times New Roman" w:cs="Times New Roman"/>
                <w:color w:val="7030A0"/>
                <w:sz w:val="28"/>
                <w:szCs w:val="28"/>
              </w:rPr>
              <w:t xml:space="preserve"> (3 credit hours)</w:t>
            </w:r>
          </w:p>
          <w:p w14:paraId="19DC3A4D" w14:textId="77777777" w:rsidR="00507931" w:rsidRDefault="009A2E9A">
            <w:pPr>
              <w:pStyle w:val="Heading4"/>
              <w:contextualSpacing w:val="0"/>
              <w:outlineLvl w:val="3"/>
              <w:rPr>
                <w:b w:val="0"/>
                <w:i/>
                <w:color w:val="7030A0"/>
                <w:sz w:val="32"/>
                <w:szCs w:val="32"/>
              </w:rPr>
            </w:pPr>
            <w:r>
              <w:rPr>
                <w:color w:val="7030A0"/>
                <w:sz w:val="34"/>
                <w:szCs w:val="34"/>
              </w:rPr>
              <w:t>IS 680 Data Mining</w:t>
            </w:r>
          </w:p>
        </w:tc>
        <w:tc>
          <w:tcPr>
            <w:tcW w:w="1980" w:type="dxa"/>
          </w:tcPr>
          <w:p w14:paraId="30B56255" w14:textId="77777777" w:rsidR="00507931" w:rsidRDefault="009A2E9A">
            <w:pPr>
              <w:pStyle w:val="Heading4"/>
              <w:contextualSpacing w:val="0"/>
              <w:outlineLvl w:val="3"/>
              <w:rPr>
                <w:b w:val="0"/>
                <w:i/>
                <w:color w:val="7030A0"/>
                <w:sz w:val="28"/>
                <w:szCs w:val="28"/>
              </w:rPr>
            </w:pPr>
            <w:r>
              <w:rPr>
                <w:noProof/>
              </w:rPr>
              <w:drawing>
                <wp:inline distT="0" distB="0" distL="0" distR="0" wp14:anchorId="64160F3D" wp14:editId="3D5388AD">
                  <wp:extent cx="1123950" cy="7905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t="12712" b="16949"/>
                          <a:stretch>
                            <a:fillRect/>
                          </a:stretch>
                        </pic:blipFill>
                        <pic:spPr>
                          <a:xfrm>
                            <a:off x="0" y="0"/>
                            <a:ext cx="1123950" cy="790575"/>
                          </a:xfrm>
                          <a:prstGeom prst="rect">
                            <a:avLst/>
                          </a:prstGeom>
                          <a:ln/>
                        </pic:spPr>
                      </pic:pic>
                    </a:graphicData>
                  </a:graphic>
                </wp:inline>
              </w:drawing>
            </w:r>
          </w:p>
        </w:tc>
      </w:tr>
    </w:tbl>
    <w:p w14:paraId="02F5119E" w14:textId="77777777" w:rsidR="00507931" w:rsidRDefault="00507931">
      <w:pPr>
        <w:pStyle w:val="Heading5"/>
        <w:pBdr>
          <w:bottom w:val="single" w:sz="12" w:space="1" w:color="000000"/>
        </w:pBdr>
        <w:tabs>
          <w:tab w:val="left" w:pos="900"/>
          <w:tab w:val="left" w:pos="1980"/>
          <w:tab w:val="left" w:pos="2520"/>
        </w:tabs>
        <w:rPr>
          <w:color w:val="C00000"/>
        </w:rPr>
      </w:pPr>
    </w:p>
    <w:p w14:paraId="0EB193F2" w14:textId="77777777" w:rsidR="00507931" w:rsidRDefault="00507931"/>
    <w:tbl>
      <w:tblPr>
        <w:tblStyle w:val="a0"/>
        <w:tblW w:w="268"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268"/>
      </w:tblGrid>
      <w:tr w:rsidR="00C82E27" w14:paraId="1362E9E6" w14:textId="77777777" w:rsidTr="00C82E27">
        <w:tc>
          <w:tcPr>
            <w:tcW w:w="268" w:type="dxa"/>
          </w:tcPr>
          <w:p w14:paraId="4D857193" w14:textId="77777777" w:rsidR="00C82E27" w:rsidRDefault="00C82E27">
            <w:pPr>
              <w:tabs>
                <w:tab w:val="left" w:pos="-1440"/>
                <w:tab w:val="left" w:pos="1800"/>
              </w:tabs>
              <w:contextualSpacing w:val="0"/>
              <w:rPr>
                <w:i/>
                <w:color w:val="7030A0"/>
                <w:sz w:val="24"/>
                <w:szCs w:val="24"/>
              </w:rPr>
            </w:pPr>
          </w:p>
        </w:tc>
      </w:tr>
      <w:tr w:rsidR="00C82E27" w14:paraId="12B363E6" w14:textId="77777777" w:rsidTr="00C82E27">
        <w:trPr>
          <w:trHeight w:val="96"/>
        </w:trPr>
        <w:tc>
          <w:tcPr>
            <w:tcW w:w="268" w:type="dxa"/>
          </w:tcPr>
          <w:p w14:paraId="54B3D9B2" w14:textId="77777777" w:rsidR="00C82E27" w:rsidRDefault="00C82E27">
            <w:pPr>
              <w:tabs>
                <w:tab w:val="left" w:pos="-1440"/>
                <w:tab w:val="left" w:pos="1800"/>
              </w:tabs>
              <w:contextualSpacing w:val="0"/>
              <w:rPr>
                <w:i/>
                <w:color w:val="7030A0"/>
                <w:sz w:val="24"/>
                <w:szCs w:val="24"/>
              </w:rPr>
            </w:pPr>
          </w:p>
        </w:tc>
      </w:tr>
    </w:tbl>
    <w:p w14:paraId="070C270E" w14:textId="77777777" w:rsidR="00507931" w:rsidRDefault="009A2E9A" w:rsidP="00C82E27">
      <w:pPr>
        <w:pStyle w:val="Heading1"/>
      </w:pPr>
      <w:r>
        <w:t>Mission</w:t>
      </w:r>
    </w:p>
    <w:p w14:paraId="7842F5E9" w14:textId="77777777" w:rsidR="00507931" w:rsidRDefault="00507931">
      <w:pPr>
        <w:tabs>
          <w:tab w:val="left" w:pos="-1440"/>
          <w:tab w:val="left" w:pos="1800"/>
        </w:tabs>
        <w:rPr>
          <w:b/>
          <w:sz w:val="22"/>
          <w:szCs w:val="22"/>
        </w:rPr>
      </w:pPr>
    </w:p>
    <w:p w14:paraId="3BE0E3D5" w14:textId="77777777" w:rsidR="00507931" w:rsidRDefault="009A2E9A">
      <w:pPr>
        <w:pStyle w:val="Heading2"/>
      </w:pPr>
      <w:r>
        <w:t>Abilene Christian University (ACU)</w:t>
      </w:r>
    </w:p>
    <w:p w14:paraId="3D912358" w14:textId="77777777" w:rsidR="00507931" w:rsidRDefault="009A2E9A">
      <w:pPr>
        <w:tabs>
          <w:tab w:val="left" w:pos="-1440"/>
          <w:tab w:val="left" w:pos="1800"/>
        </w:tabs>
        <w:rPr>
          <w:sz w:val="22"/>
          <w:szCs w:val="22"/>
        </w:rPr>
      </w:pPr>
      <w:r>
        <w:rPr>
          <w:sz w:val="22"/>
          <w:szCs w:val="22"/>
        </w:rPr>
        <w:t>The mission of Abilene Christian University is to educate students for Christian service and leadership throughout the world. This mission is achieved through:</w:t>
      </w:r>
    </w:p>
    <w:p w14:paraId="0405ACF5" w14:textId="77777777" w:rsidR="00507931" w:rsidRDefault="009A2E9A">
      <w:pPr>
        <w:numPr>
          <w:ilvl w:val="0"/>
          <w:numId w:val="1"/>
        </w:numPr>
        <w:tabs>
          <w:tab w:val="left" w:pos="-1440"/>
          <w:tab w:val="left" w:pos="1800"/>
        </w:tabs>
        <w:ind w:hanging="360"/>
        <w:contextualSpacing/>
        <w:rPr>
          <w:sz w:val="22"/>
          <w:szCs w:val="22"/>
        </w:rPr>
      </w:pPr>
      <w:r>
        <w:rPr>
          <w:sz w:val="22"/>
          <w:szCs w:val="22"/>
        </w:rPr>
        <w:t>Exemplary teaching, offered by a faculty of Christian scholars, that inspires a commitment to learning;</w:t>
      </w:r>
    </w:p>
    <w:p w14:paraId="68C8D924" w14:textId="77777777" w:rsidR="00507931" w:rsidRDefault="009A2E9A">
      <w:pPr>
        <w:numPr>
          <w:ilvl w:val="0"/>
          <w:numId w:val="1"/>
        </w:numPr>
        <w:tabs>
          <w:tab w:val="left" w:pos="-1440"/>
          <w:tab w:val="left" w:pos="1800"/>
        </w:tabs>
        <w:ind w:hanging="360"/>
        <w:contextualSpacing/>
        <w:rPr>
          <w:sz w:val="22"/>
          <w:szCs w:val="22"/>
        </w:rPr>
      </w:pPr>
      <w:r>
        <w:rPr>
          <w:sz w:val="22"/>
          <w:szCs w:val="22"/>
        </w:rPr>
        <w:t>Significant research, grounded in the university's disciplines of study, that informs issues of importance to the academy, church, and society;</w:t>
      </w:r>
    </w:p>
    <w:p w14:paraId="7C3F255F" w14:textId="77777777" w:rsidR="00507931" w:rsidRDefault="009A2E9A">
      <w:pPr>
        <w:numPr>
          <w:ilvl w:val="0"/>
          <w:numId w:val="1"/>
        </w:numPr>
        <w:tabs>
          <w:tab w:val="left" w:pos="-1440"/>
          <w:tab w:val="left" w:pos="1800"/>
        </w:tabs>
        <w:ind w:hanging="360"/>
        <w:contextualSpacing/>
        <w:rPr>
          <w:sz w:val="22"/>
          <w:szCs w:val="22"/>
        </w:rPr>
      </w:pPr>
      <w:r>
        <w:rPr>
          <w:sz w:val="22"/>
          <w:szCs w:val="22"/>
        </w:rPr>
        <w:t>Meaningful service to society, the academic disciplines, the university, and the church, expressed in various ways, by all segments of the Abilene Christian University community.</w:t>
      </w:r>
    </w:p>
    <w:p w14:paraId="1D89B1EA" w14:textId="77777777" w:rsidR="00507931" w:rsidRDefault="00507931">
      <w:pPr>
        <w:tabs>
          <w:tab w:val="left" w:pos="-1440"/>
          <w:tab w:val="left" w:pos="1800"/>
        </w:tabs>
        <w:ind w:left="540" w:hanging="180"/>
        <w:rPr>
          <w:sz w:val="22"/>
          <w:szCs w:val="22"/>
        </w:rPr>
      </w:pPr>
    </w:p>
    <w:p w14:paraId="467B0FFC" w14:textId="77777777" w:rsidR="00507931" w:rsidRDefault="009A2E9A">
      <w:pPr>
        <w:pStyle w:val="Heading2"/>
      </w:pPr>
      <w:r>
        <w:t>ACU College of Business Administration (COBA)</w:t>
      </w:r>
    </w:p>
    <w:p w14:paraId="7A21164D" w14:textId="77777777" w:rsidR="00507931" w:rsidRDefault="009A2E9A">
      <w:pPr>
        <w:tabs>
          <w:tab w:val="left" w:pos="-1440"/>
          <w:tab w:val="left" w:pos="1800"/>
        </w:tabs>
        <w:rPr>
          <w:sz w:val="22"/>
          <w:szCs w:val="22"/>
        </w:rPr>
      </w:pPr>
      <w:r>
        <w:rPr>
          <w:sz w:val="22"/>
          <w:szCs w:val="22"/>
        </w:rPr>
        <w:t xml:space="preserve">The mission of ACU’s College of Business Administration is to glorify God by creating a distinctively Christian environment in which excellent teaching, combined with scholarship, promotes the intellectual, personal, and spiritual growth of business students, and educates them for Christian service and leadership throughout the world. </w:t>
      </w:r>
    </w:p>
    <w:p w14:paraId="62618D6B" w14:textId="77777777" w:rsidR="00507931" w:rsidRDefault="00507931">
      <w:pPr>
        <w:widowControl/>
        <w:rPr>
          <w:sz w:val="22"/>
          <w:szCs w:val="22"/>
        </w:rPr>
      </w:pPr>
    </w:p>
    <w:p w14:paraId="537B2F0A" w14:textId="77777777" w:rsidR="00507931" w:rsidRDefault="009A2E9A">
      <w:pPr>
        <w:pStyle w:val="Heading2"/>
      </w:pPr>
      <w:r>
        <w:t>ACU Master of Business Administration (MBA)</w:t>
      </w:r>
    </w:p>
    <w:p w14:paraId="37C8856C" w14:textId="77777777" w:rsidR="00507931" w:rsidRDefault="009A2E9A">
      <w:pPr>
        <w:widowControl/>
        <w:rPr>
          <w:sz w:val="22"/>
          <w:szCs w:val="22"/>
        </w:rPr>
      </w:pPr>
      <w:r>
        <w:rPr>
          <w:sz w:val="22"/>
          <w:szCs w:val="22"/>
        </w:rPr>
        <w:t>The mission of the Master of Business Administration program is to prepare business professionals for administrative roles that call on them to demonstrate ethical management and decision-making skills informed by principles of Christian vocation. This is accomplished through equipping business leaders to:</w:t>
      </w:r>
    </w:p>
    <w:p w14:paraId="22B36491" w14:textId="77777777" w:rsidR="00507931" w:rsidRDefault="009A2E9A">
      <w:pPr>
        <w:widowControl/>
        <w:numPr>
          <w:ilvl w:val="0"/>
          <w:numId w:val="6"/>
        </w:numPr>
        <w:ind w:hanging="360"/>
        <w:rPr>
          <w:sz w:val="22"/>
          <w:szCs w:val="22"/>
        </w:rPr>
      </w:pPr>
      <w:r>
        <w:rPr>
          <w:sz w:val="22"/>
          <w:szCs w:val="22"/>
        </w:rPr>
        <w:t>Practice effective leadership of themselves, their teams, their organizations, and their external constituents;</w:t>
      </w:r>
    </w:p>
    <w:p w14:paraId="5725CA78" w14:textId="77777777" w:rsidR="00507931" w:rsidRDefault="009A2E9A">
      <w:pPr>
        <w:widowControl/>
        <w:numPr>
          <w:ilvl w:val="0"/>
          <w:numId w:val="6"/>
        </w:numPr>
        <w:spacing w:before="280"/>
        <w:ind w:hanging="360"/>
        <w:rPr>
          <w:sz w:val="22"/>
          <w:szCs w:val="22"/>
        </w:rPr>
      </w:pPr>
      <w:r>
        <w:rPr>
          <w:sz w:val="22"/>
          <w:szCs w:val="22"/>
        </w:rPr>
        <w:t>Lead organizational innovation efforts through effective integration of strategy with appropriate organizational processes and technologies;</w:t>
      </w:r>
    </w:p>
    <w:p w14:paraId="5FD5357C" w14:textId="77777777" w:rsidR="00507931" w:rsidRDefault="009A2E9A">
      <w:pPr>
        <w:widowControl/>
        <w:numPr>
          <w:ilvl w:val="0"/>
          <w:numId w:val="6"/>
        </w:numPr>
        <w:ind w:hanging="360"/>
        <w:rPr>
          <w:sz w:val="22"/>
          <w:szCs w:val="22"/>
        </w:rPr>
      </w:pPr>
      <w:r>
        <w:rPr>
          <w:sz w:val="22"/>
          <w:szCs w:val="22"/>
        </w:rPr>
        <w:t>Engage in data-informed decision-making; and</w:t>
      </w:r>
    </w:p>
    <w:p w14:paraId="1171B25D" w14:textId="77777777" w:rsidR="00507931" w:rsidRDefault="009A2E9A">
      <w:pPr>
        <w:widowControl/>
        <w:numPr>
          <w:ilvl w:val="0"/>
          <w:numId w:val="6"/>
        </w:numPr>
        <w:ind w:hanging="360"/>
        <w:rPr>
          <w:sz w:val="22"/>
          <w:szCs w:val="22"/>
        </w:rPr>
      </w:pPr>
      <w:r>
        <w:rPr>
          <w:sz w:val="22"/>
          <w:szCs w:val="22"/>
        </w:rPr>
        <w:t>Make ethical decisions informed by values and goals that are consistent with relevant laws and Christian principles.</w:t>
      </w:r>
    </w:p>
    <w:p w14:paraId="51D444DE" w14:textId="77777777" w:rsidR="00507931" w:rsidRDefault="00507931">
      <w:pPr>
        <w:widowControl/>
        <w:rPr>
          <w:sz w:val="22"/>
          <w:szCs w:val="22"/>
        </w:rPr>
      </w:pPr>
    </w:p>
    <w:p w14:paraId="5762E37F" w14:textId="77777777" w:rsidR="00507931" w:rsidRDefault="009A2E9A">
      <w:pPr>
        <w:pStyle w:val="Heading1"/>
      </w:pPr>
      <w:r>
        <w:t>Course Overview</w:t>
      </w:r>
    </w:p>
    <w:p w14:paraId="07BE59BB" w14:textId="77777777" w:rsidR="00507931" w:rsidRDefault="00507931">
      <w:pPr>
        <w:spacing w:line="236" w:lineRule="auto"/>
        <w:ind w:left="720" w:hanging="720"/>
        <w:rPr>
          <w:sz w:val="22"/>
          <w:szCs w:val="22"/>
        </w:rPr>
      </w:pPr>
    </w:p>
    <w:p w14:paraId="2C84FF33" w14:textId="77777777" w:rsidR="00507931" w:rsidRDefault="009A2E9A">
      <w:pPr>
        <w:pStyle w:val="Heading2"/>
      </w:pPr>
      <w:r>
        <w:t>Course Description and Prerequisites</w:t>
      </w:r>
    </w:p>
    <w:p w14:paraId="053F1E13" w14:textId="77777777" w:rsidR="00507931" w:rsidRDefault="009A2E9A">
      <w:pPr>
        <w:spacing w:line="236" w:lineRule="auto"/>
        <w:rPr>
          <w:sz w:val="22"/>
          <w:szCs w:val="22"/>
        </w:rPr>
      </w:pPr>
      <w:r>
        <w:rPr>
          <w:sz w:val="22"/>
          <w:szCs w:val="22"/>
        </w:rPr>
        <w:t>Introduction to the principles, techniques, and tools needed for data mining. Students will learn to use data to make decisions, predictions, and recommendations based on their analysis outcomes. Course will include case studies, allowing students to review industry cases and use data to make decisions about business strategy.</w:t>
      </w:r>
    </w:p>
    <w:p w14:paraId="61716A82" w14:textId="77777777" w:rsidR="00507931" w:rsidRDefault="00507931">
      <w:pPr>
        <w:spacing w:line="236" w:lineRule="auto"/>
        <w:rPr>
          <w:sz w:val="22"/>
          <w:szCs w:val="22"/>
        </w:rPr>
      </w:pPr>
    </w:p>
    <w:p w14:paraId="570FF27D" w14:textId="77777777" w:rsidR="00507931" w:rsidRDefault="009A2E9A">
      <w:pPr>
        <w:pStyle w:val="Heading2"/>
      </w:pPr>
      <w:r>
        <w:t>Integration of Christian Faith &amp; Ethics</w:t>
      </w:r>
    </w:p>
    <w:p w14:paraId="19D68984" w14:textId="77777777" w:rsidR="00507931" w:rsidRDefault="009A2E9A">
      <w:pPr>
        <w:spacing w:line="236" w:lineRule="auto"/>
        <w:rPr>
          <w:sz w:val="22"/>
          <w:szCs w:val="22"/>
        </w:rPr>
      </w:pPr>
      <w:r>
        <w:rPr>
          <w:sz w:val="22"/>
          <w:szCs w:val="22"/>
        </w:rPr>
        <w:t xml:space="preserve">The Data Science Association outlined 9 rules within a code of conduct to encourage professional behavior and </w:t>
      </w:r>
      <w:r>
        <w:rPr>
          <w:sz w:val="22"/>
          <w:szCs w:val="22"/>
        </w:rPr>
        <w:lastRenderedPageBreak/>
        <w:t xml:space="preserve">ethics among those in the field. However, without a spiritual and ethical foundation a code of conduct may be of negligible effect. In this course students will have the opportunity to apply principles of Christian faith and ethics as they consider how this professional code related to data science requires certain ethical and spiritual underpinnings to ensure its efficacy. They will also discuss how these ethical and spiritual underpinnings enhance the quality of outcomes from data analysis.  </w:t>
      </w:r>
    </w:p>
    <w:p w14:paraId="56665A34" w14:textId="77777777" w:rsidR="00507931" w:rsidRDefault="00507931">
      <w:pPr>
        <w:spacing w:line="236" w:lineRule="auto"/>
        <w:rPr>
          <w:sz w:val="22"/>
          <w:szCs w:val="22"/>
        </w:rPr>
      </w:pPr>
    </w:p>
    <w:p w14:paraId="2F9F6125" w14:textId="77777777" w:rsidR="00507931" w:rsidRDefault="009A2E9A">
      <w:pPr>
        <w:pStyle w:val="Heading2"/>
      </w:pPr>
      <w:r>
        <w:t>Course Competencies</w:t>
      </w:r>
    </w:p>
    <w:p w14:paraId="105EA3A2" w14:textId="77777777" w:rsidR="00507931" w:rsidRDefault="009A2E9A">
      <w:pPr>
        <w:spacing w:line="236" w:lineRule="auto"/>
        <w:rPr>
          <w:sz w:val="22"/>
          <w:szCs w:val="22"/>
        </w:rPr>
      </w:pPr>
      <w:r>
        <w:rPr>
          <w:sz w:val="22"/>
          <w:szCs w:val="22"/>
        </w:rPr>
        <w:t>As outcomes of the course, each student should be able to:</w:t>
      </w:r>
    </w:p>
    <w:p w14:paraId="19B83381" w14:textId="77777777" w:rsidR="00507931" w:rsidRDefault="009A2E9A">
      <w:pPr>
        <w:numPr>
          <w:ilvl w:val="0"/>
          <w:numId w:val="2"/>
        </w:numPr>
        <w:spacing w:line="236" w:lineRule="auto"/>
        <w:ind w:hanging="360"/>
        <w:contextualSpacing/>
        <w:rPr>
          <w:sz w:val="22"/>
          <w:szCs w:val="22"/>
        </w:rPr>
      </w:pPr>
      <w:r>
        <w:rPr>
          <w:sz w:val="22"/>
          <w:szCs w:val="22"/>
        </w:rPr>
        <w:t>Develop technical competence in data mining techniques.</w:t>
      </w:r>
    </w:p>
    <w:p w14:paraId="4A9C9170" w14:textId="77777777" w:rsidR="00507931" w:rsidRDefault="009A2E9A">
      <w:pPr>
        <w:numPr>
          <w:ilvl w:val="0"/>
          <w:numId w:val="2"/>
        </w:numPr>
        <w:spacing w:line="236" w:lineRule="auto"/>
        <w:ind w:hanging="360"/>
        <w:contextualSpacing/>
        <w:rPr>
          <w:sz w:val="22"/>
          <w:szCs w:val="22"/>
        </w:rPr>
      </w:pPr>
      <w:r>
        <w:rPr>
          <w:sz w:val="22"/>
          <w:szCs w:val="22"/>
        </w:rPr>
        <w:t>Extract meaning from large data sets using enterprise level software.</w:t>
      </w:r>
    </w:p>
    <w:p w14:paraId="73844AA7" w14:textId="77777777" w:rsidR="00507931" w:rsidRDefault="009A2E9A">
      <w:pPr>
        <w:numPr>
          <w:ilvl w:val="0"/>
          <w:numId w:val="2"/>
        </w:numPr>
        <w:spacing w:line="236" w:lineRule="auto"/>
        <w:ind w:hanging="360"/>
        <w:contextualSpacing/>
        <w:rPr>
          <w:sz w:val="22"/>
          <w:szCs w:val="22"/>
        </w:rPr>
      </w:pPr>
      <w:r>
        <w:rPr>
          <w:sz w:val="22"/>
          <w:szCs w:val="22"/>
        </w:rPr>
        <w:t>Create basic visualizations for use in making business decisions.</w:t>
      </w:r>
    </w:p>
    <w:p w14:paraId="3530E81F" w14:textId="77777777" w:rsidR="00507931" w:rsidRDefault="009A2E9A">
      <w:pPr>
        <w:numPr>
          <w:ilvl w:val="0"/>
          <w:numId w:val="2"/>
        </w:numPr>
        <w:spacing w:line="236" w:lineRule="auto"/>
        <w:ind w:hanging="360"/>
        <w:contextualSpacing/>
        <w:rPr>
          <w:sz w:val="22"/>
          <w:szCs w:val="22"/>
        </w:rPr>
      </w:pPr>
      <w:r>
        <w:rPr>
          <w:sz w:val="22"/>
          <w:szCs w:val="22"/>
        </w:rPr>
        <w:t>Interpret multiple views of data analysis outcomes.</w:t>
      </w:r>
    </w:p>
    <w:p w14:paraId="3045C60E" w14:textId="77777777" w:rsidR="00507931" w:rsidRDefault="009A2E9A">
      <w:pPr>
        <w:numPr>
          <w:ilvl w:val="0"/>
          <w:numId w:val="2"/>
        </w:numPr>
        <w:ind w:hanging="360"/>
        <w:contextualSpacing/>
        <w:rPr>
          <w:sz w:val="22"/>
          <w:szCs w:val="22"/>
        </w:rPr>
      </w:pPr>
      <w:r>
        <w:rPr>
          <w:sz w:val="22"/>
          <w:szCs w:val="22"/>
        </w:rPr>
        <w:t xml:space="preserve">Recognize the ethical and spiritual foundation that helps ensure quality data analysis. </w:t>
      </w:r>
    </w:p>
    <w:p w14:paraId="7FCBC3ED" w14:textId="77777777" w:rsidR="00507931" w:rsidRDefault="00507931">
      <w:pPr>
        <w:spacing w:line="236" w:lineRule="auto"/>
        <w:ind w:left="720" w:hanging="720"/>
        <w:rPr>
          <w:sz w:val="22"/>
          <w:szCs w:val="22"/>
        </w:rPr>
      </w:pPr>
    </w:p>
    <w:p w14:paraId="472847D2" w14:textId="77777777" w:rsidR="00507931" w:rsidRDefault="009A2E9A">
      <w:pPr>
        <w:pStyle w:val="Heading2"/>
      </w:pPr>
      <w:r>
        <w:t>Required Textbooks &amp; Course Materials</w:t>
      </w:r>
    </w:p>
    <w:p w14:paraId="6F580C57" w14:textId="77777777" w:rsidR="00507931" w:rsidRDefault="009A2E9A">
      <w:pPr>
        <w:widowControl/>
        <w:rPr>
          <w:sz w:val="22"/>
          <w:szCs w:val="22"/>
        </w:rPr>
      </w:pPr>
      <w:proofErr w:type="spellStart"/>
      <w:r>
        <w:rPr>
          <w:sz w:val="22"/>
          <w:szCs w:val="22"/>
        </w:rPr>
        <w:t>Kalé</w:t>
      </w:r>
      <w:proofErr w:type="spellEnd"/>
      <w:r>
        <w:rPr>
          <w:sz w:val="22"/>
          <w:szCs w:val="22"/>
        </w:rPr>
        <w:t xml:space="preserve">, N. &amp; Jones, N. (2016). </w:t>
      </w:r>
      <w:r>
        <w:rPr>
          <w:i/>
          <w:sz w:val="22"/>
          <w:szCs w:val="22"/>
        </w:rPr>
        <w:t>Practical analytics</w:t>
      </w:r>
      <w:r>
        <w:rPr>
          <w:sz w:val="22"/>
          <w:szCs w:val="22"/>
        </w:rPr>
        <w:t xml:space="preserve">. United States: </w:t>
      </w:r>
      <w:proofErr w:type="spellStart"/>
      <w:r>
        <w:rPr>
          <w:sz w:val="22"/>
          <w:szCs w:val="22"/>
        </w:rPr>
        <w:t>Epistemy</w:t>
      </w:r>
      <w:proofErr w:type="spellEnd"/>
      <w:r>
        <w:rPr>
          <w:sz w:val="22"/>
          <w:szCs w:val="22"/>
        </w:rPr>
        <w:t xml:space="preserve"> Press. (ISBN: 978-0-985600891) </w:t>
      </w:r>
    </w:p>
    <w:p w14:paraId="1FDE69A2" w14:textId="77777777" w:rsidR="00507931" w:rsidRDefault="00507931">
      <w:pPr>
        <w:widowControl/>
        <w:rPr>
          <w:sz w:val="22"/>
          <w:szCs w:val="22"/>
        </w:rPr>
      </w:pPr>
    </w:p>
    <w:p w14:paraId="3287216D" w14:textId="77777777" w:rsidR="00507931" w:rsidRDefault="009A2E9A">
      <w:pPr>
        <w:pStyle w:val="Heading1"/>
      </w:pPr>
      <w:r>
        <w:t>Assignments and Grading</w:t>
      </w:r>
    </w:p>
    <w:p w14:paraId="051A2792" w14:textId="77777777" w:rsidR="00507931" w:rsidRDefault="00507931">
      <w:pPr>
        <w:widowControl/>
        <w:rPr>
          <w:sz w:val="22"/>
          <w:szCs w:val="22"/>
        </w:rPr>
      </w:pPr>
    </w:p>
    <w:p w14:paraId="576CBEC4" w14:textId="77777777" w:rsidR="00507931" w:rsidRDefault="009A2E9A">
      <w:pPr>
        <w:pStyle w:val="Heading2"/>
      </w:pPr>
      <w:r>
        <w:t>Assignments (100 points possible; see Canvas for more detailed descriptions)</w:t>
      </w:r>
    </w:p>
    <w:p w14:paraId="01DF3DEC" w14:textId="0086BE3A" w:rsidR="00507931" w:rsidRDefault="009A2E9A">
      <w:pPr>
        <w:widowControl/>
        <w:numPr>
          <w:ilvl w:val="0"/>
          <w:numId w:val="3"/>
        </w:numPr>
        <w:spacing w:line="259" w:lineRule="auto"/>
        <w:ind w:hanging="360"/>
        <w:contextualSpacing/>
        <w:rPr>
          <w:sz w:val="22"/>
          <w:szCs w:val="22"/>
        </w:rPr>
      </w:pPr>
      <w:r>
        <w:rPr>
          <w:sz w:val="22"/>
          <w:szCs w:val="22"/>
        </w:rPr>
        <w:t>Evening Synchronous Sessions (7 points) – Every Tuesday</w:t>
      </w:r>
      <w:r w:rsidR="00605D20">
        <w:rPr>
          <w:sz w:val="22"/>
          <w:szCs w:val="22"/>
        </w:rPr>
        <w:t xml:space="preserve"> or Thursday</w:t>
      </w:r>
      <w:bookmarkStart w:id="0" w:name="_GoBack"/>
      <w:bookmarkEnd w:id="0"/>
      <w:r>
        <w:rPr>
          <w:sz w:val="22"/>
          <w:szCs w:val="22"/>
        </w:rPr>
        <w:t xml:space="preserve"> evening at 7 pm Central time students will be required to attend a one-hour synchronous session led by the Lead Teacher. Those unable to attend should review the session recording within 48 hours.</w:t>
      </w:r>
    </w:p>
    <w:p w14:paraId="6C573C9B" w14:textId="77777777" w:rsidR="00507931" w:rsidRDefault="009A2E9A">
      <w:pPr>
        <w:widowControl/>
        <w:numPr>
          <w:ilvl w:val="0"/>
          <w:numId w:val="3"/>
        </w:numPr>
        <w:spacing w:line="259" w:lineRule="auto"/>
        <w:ind w:hanging="360"/>
        <w:contextualSpacing/>
        <w:rPr>
          <w:sz w:val="22"/>
          <w:szCs w:val="22"/>
        </w:rPr>
      </w:pPr>
      <w:r>
        <w:rPr>
          <w:sz w:val="22"/>
          <w:szCs w:val="22"/>
        </w:rPr>
        <w:t>Discussion Questions (16 points) – This course has between one and two discussion questions each week. Effective participation in the discussions will require preparation by reading assigned materials and/or viewing relevant media. See the Academic Policies section for more information on discussion questions.</w:t>
      </w:r>
    </w:p>
    <w:p w14:paraId="69BCF727" w14:textId="77777777" w:rsidR="00507931" w:rsidRDefault="009A2E9A">
      <w:pPr>
        <w:widowControl/>
        <w:numPr>
          <w:ilvl w:val="0"/>
          <w:numId w:val="3"/>
        </w:numPr>
        <w:spacing w:line="259" w:lineRule="auto"/>
        <w:ind w:hanging="360"/>
        <w:contextualSpacing/>
        <w:rPr>
          <w:sz w:val="22"/>
          <w:szCs w:val="22"/>
        </w:rPr>
      </w:pPr>
      <w:r>
        <w:rPr>
          <w:sz w:val="22"/>
          <w:szCs w:val="22"/>
        </w:rPr>
        <w:t>Introduction to Practical Analytics Assignments (24 points) – These introductory assignments will lay the foundation for integrating the disciplines of math, computer science, and statistics that are necessary for analytics and data mining.   </w:t>
      </w:r>
    </w:p>
    <w:p w14:paraId="116272DB" w14:textId="77777777" w:rsidR="00507931" w:rsidRDefault="009A2E9A">
      <w:pPr>
        <w:widowControl/>
        <w:numPr>
          <w:ilvl w:val="1"/>
          <w:numId w:val="3"/>
        </w:numPr>
        <w:spacing w:line="259" w:lineRule="auto"/>
        <w:ind w:hanging="360"/>
        <w:contextualSpacing/>
        <w:rPr>
          <w:sz w:val="22"/>
          <w:szCs w:val="22"/>
        </w:rPr>
      </w:pPr>
      <w:r>
        <w:rPr>
          <w:sz w:val="22"/>
          <w:szCs w:val="22"/>
        </w:rPr>
        <w:t>Using Excel to Extract Data from an Access Database</w:t>
      </w:r>
    </w:p>
    <w:p w14:paraId="08DCED51" w14:textId="77777777" w:rsidR="00507931" w:rsidRDefault="009A2E9A">
      <w:pPr>
        <w:widowControl/>
        <w:numPr>
          <w:ilvl w:val="1"/>
          <w:numId w:val="3"/>
        </w:numPr>
        <w:spacing w:line="259" w:lineRule="auto"/>
        <w:ind w:hanging="360"/>
        <w:contextualSpacing/>
        <w:rPr>
          <w:sz w:val="22"/>
          <w:szCs w:val="22"/>
        </w:rPr>
      </w:pPr>
      <w:r>
        <w:rPr>
          <w:sz w:val="22"/>
          <w:szCs w:val="22"/>
        </w:rPr>
        <w:t>Data Warehouse - Data Cube Analysis</w:t>
      </w:r>
    </w:p>
    <w:p w14:paraId="1E88E0EB" w14:textId="77777777" w:rsidR="00507931" w:rsidRDefault="009A2E9A">
      <w:pPr>
        <w:widowControl/>
        <w:numPr>
          <w:ilvl w:val="1"/>
          <w:numId w:val="3"/>
        </w:numPr>
        <w:spacing w:line="259" w:lineRule="auto"/>
        <w:ind w:hanging="360"/>
        <w:contextualSpacing/>
        <w:rPr>
          <w:sz w:val="22"/>
          <w:szCs w:val="22"/>
        </w:rPr>
      </w:pPr>
      <w:r>
        <w:rPr>
          <w:sz w:val="22"/>
          <w:szCs w:val="22"/>
        </w:rPr>
        <w:t xml:space="preserve">Data Exploration </w:t>
      </w:r>
      <w:proofErr w:type="gramStart"/>
      <w:r>
        <w:rPr>
          <w:sz w:val="22"/>
          <w:szCs w:val="22"/>
        </w:rPr>
        <w:t>With</w:t>
      </w:r>
      <w:proofErr w:type="gramEnd"/>
      <w:r>
        <w:rPr>
          <w:sz w:val="22"/>
          <w:szCs w:val="22"/>
        </w:rPr>
        <w:t xml:space="preserve"> SAP Explorer</w:t>
      </w:r>
    </w:p>
    <w:p w14:paraId="04295C75" w14:textId="77777777" w:rsidR="00507931" w:rsidRDefault="009A2E9A">
      <w:pPr>
        <w:widowControl/>
        <w:numPr>
          <w:ilvl w:val="0"/>
          <w:numId w:val="3"/>
        </w:numPr>
        <w:spacing w:line="259" w:lineRule="auto"/>
        <w:ind w:hanging="360"/>
        <w:contextualSpacing/>
        <w:rPr>
          <w:sz w:val="22"/>
          <w:szCs w:val="22"/>
        </w:rPr>
      </w:pPr>
      <w:r>
        <w:rPr>
          <w:sz w:val="22"/>
          <w:szCs w:val="22"/>
        </w:rPr>
        <w:t>Data Visualization Assignments (12 points) – The data visualization assignments will provide students the opportunity to practice creating appropriate charts for displaying and analyzing data, as well as deriving trends.</w:t>
      </w:r>
    </w:p>
    <w:p w14:paraId="41CCBA1D" w14:textId="77777777" w:rsidR="00507931" w:rsidRDefault="009A2E9A">
      <w:pPr>
        <w:widowControl/>
        <w:numPr>
          <w:ilvl w:val="1"/>
          <w:numId w:val="3"/>
        </w:numPr>
        <w:spacing w:line="259" w:lineRule="auto"/>
        <w:ind w:hanging="360"/>
        <w:contextualSpacing/>
        <w:rPr>
          <w:sz w:val="22"/>
          <w:szCs w:val="22"/>
        </w:rPr>
      </w:pPr>
      <w:r>
        <w:rPr>
          <w:sz w:val="22"/>
          <w:szCs w:val="22"/>
        </w:rPr>
        <w:t>Introduction to Graph Processing</w:t>
      </w:r>
    </w:p>
    <w:p w14:paraId="660CBA8E" w14:textId="77777777" w:rsidR="00507931" w:rsidRDefault="009A2E9A">
      <w:pPr>
        <w:widowControl/>
        <w:numPr>
          <w:ilvl w:val="1"/>
          <w:numId w:val="3"/>
        </w:numPr>
        <w:spacing w:line="259" w:lineRule="auto"/>
        <w:ind w:hanging="360"/>
        <w:contextualSpacing/>
        <w:rPr>
          <w:sz w:val="22"/>
          <w:szCs w:val="22"/>
        </w:rPr>
      </w:pPr>
      <w:r>
        <w:rPr>
          <w:sz w:val="22"/>
          <w:szCs w:val="22"/>
        </w:rPr>
        <w:t>Team Evaluation of Visualized Data</w:t>
      </w:r>
    </w:p>
    <w:p w14:paraId="115DD97E" w14:textId="77777777" w:rsidR="00507931" w:rsidRDefault="009A2E9A">
      <w:pPr>
        <w:widowControl/>
        <w:numPr>
          <w:ilvl w:val="0"/>
          <w:numId w:val="3"/>
        </w:numPr>
        <w:spacing w:line="259" w:lineRule="auto"/>
        <w:ind w:hanging="360"/>
        <w:contextualSpacing/>
        <w:rPr>
          <w:sz w:val="22"/>
          <w:szCs w:val="22"/>
        </w:rPr>
      </w:pPr>
      <w:r>
        <w:rPr>
          <w:sz w:val="22"/>
          <w:szCs w:val="22"/>
        </w:rPr>
        <w:t xml:space="preserve">Data Mining </w:t>
      </w:r>
      <w:proofErr w:type="gramStart"/>
      <w:r>
        <w:rPr>
          <w:sz w:val="22"/>
          <w:szCs w:val="22"/>
        </w:rPr>
        <w:t>With</w:t>
      </w:r>
      <w:proofErr w:type="gramEnd"/>
      <w:r>
        <w:rPr>
          <w:sz w:val="22"/>
          <w:szCs w:val="22"/>
        </w:rPr>
        <w:t xml:space="preserve"> Enterprise Applications Assignments (16 points) – These assignments will provide real-world practice by requiring students to use various Enterprise level applications to analyze data within a virtual software environment. </w:t>
      </w:r>
    </w:p>
    <w:p w14:paraId="586D6C92" w14:textId="77777777" w:rsidR="00507931" w:rsidRDefault="009A2E9A">
      <w:pPr>
        <w:widowControl/>
        <w:numPr>
          <w:ilvl w:val="1"/>
          <w:numId w:val="3"/>
        </w:numPr>
        <w:spacing w:line="259" w:lineRule="auto"/>
        <w:ind w:hanging="360"/>
        <w:contextualSpacing/>
        <w:rPr>
          <w:sz w:val="22"/>
          <w:szCs w:val="22"/>
        </w:rPr>
      </w:pPr>
      <w:r>
        <w:rPr>
          <w:sz w:val="22"/>
          <w:szCs w:val="22"/>
        </w:rPr>
        <w:t>Shopping Basket Analysis</w:t>
      </w:r>
    </w:p>
    <w:p w14:paraId="78EB06E9" w14:textId="77777777" w:rsidR="00507931" w:rsidRDefault="009A2E9A">
      <w:pPr>
        <w:widowControl/>
        <w:numPr>
          <w:ilvl w:val="1"/>
          <w:numId w:val="3"/>
        </w:numPr>
        <w:spacing w:line="259" w:lineRule="auto"/>
        <w:ind w:hanging="360"/>
        <w:contextualSpacing/>
        <w:rPr>
          <w:sz w:val="22"/>
          <w:szCs w:val="22"/>
        </w:rPr>
      </w:pPr>
      <w:r>
        <w:rPr>
          <w:sz w:val="22"/>
          <w:szCs w:val="22"/>
        </w:rPr>
        <w:t>Forecast Analysis</w:t>
      </w:r>
    </w:p>
    <w:p w14:paraId="6B750BBB" w14:textId="77777777" w:rsidR="00507931" w:rsidRDefault="009A2E9A">
      <w:pPr>
        <w:widowControl/>
        <w:numPr>
          <w:ilvl w:val="0"/>
          <w:numId w:val="3"/>
        </w:numPr>
        <w:spacing w:line="259" w:lineRule="auto"/>
        <w:ind w:hanging="360"/>
        <w:contextualSpacing/>
        <w:rPr>
          <w:sz w:val="22"/>
          <w:szCs w:val="22"/>
        </w:rPr>
      </w:pPr>
      <w:r>
        <w:rPr>
          <w:sz w:val="22"/>
          <w:szCs w:val="22"/>
        </w:rPr>
        <w:t>Final Report: Discovering Competitive Advantages (20 points) – In this culminating assignment of the course, students will have the opportunity to practice the data mining techniques they have learned. Students will develop a final report summarizing the results from a case study analysis, and use predictive analytics to create a storyboard report of findings and recommendations to present to the upper management of a fictitious company.   </w:t>
      </w:r>
    </w:p>
    <w:p w14:paraId="04500524" w14:textId="77777777" w:rsidR="00507931" w:rsidRDefault="009A2E9A">
      <w:pPr>
        <w:widowControl/>
        <w:numPr>
          <w:ilvl w:val="0"/>
          <w:numId w:val="3"/>
        </w:numPr>
        <w:spacing w:line="259" w:lineRule="auto"/>
        <w:ind w:hanging="360"/>
        <w:contextualSpacing/>
        <w:rPr>
          <w:sz w:val="22"/>
          <w:szCs w:val="22"/>
        </w:rPr>
      </w:pPr>
      <w:r>
        <w:rPr>
          <w:sz w:val="22"/>
          <w:szCs w:val="22"/>
        </w:rPr>
        <w:lastRenderedPageBreak/>
        <w:t xml:space="preserve">Course Reflection (5 points) – Students will reflect on what they learned in the course related to data mining techniques and how it will impact their future career. </w:t>
      </w:r>
    </w:p>
    <w:p w14:paraId="0CE1E177" w14:textId="77777777" w:rsidR="00507931" w:rsidRDefault="00507931">
      <w:pPr>
        <w:widowControl/>
        <w:spacing w:line="259" w:lineRule="auto"/>
        <w:rPr>
          <w:sz w:val="22"/>
          <w:szCs w:val="22"/>
        </w:rPr>
      </w:pPr>
    </w:p>
    <w:p w14:paraId="50934C39" w14:textId="77777777" w:rsidR="00507931" w:rsidRDefault="00507931">
      <w:pPr>
        <w:widowControl/>
        <w:spacing w:line="259" w:lineRule="auto"/>
        <w:rPr>
          <w:sz w:val="22"/>
          <w:szCs w:val="22"/>
        </w:rPr>
      </w:pPr>
    </w:p>
    <w:p w14:paraId="3DE0172D" w14:textId="77777777" w:rsidR="00507931" w:rsidRDefault="00507931">
      <w:pPr>
        <w:widowControl/>
        <w:spacing w:line="259" w:lineRule="auto"/>
        <w:rPr>
          <w:sz w:val="22"/>
          <w:szCs w:val="22"/>
        </w:rPr>
      </w:pPr>
    </w:p>
    <w:p w14:paraId="58E5E579" w14:textId="77777777" w:rsidR="00507931" w:rsidRDefault="00507931">
      <w:pPr>
        <w:widowControl/>
        <w:spacing w:line="259" w:lineRule="auto"/>
        <w:rPr>
          <w:sz w:val="22"/>
          <w:szCs w:val="22"/>
        </w:rPr>
      </w:pPr>
    </w:p>
    <w:p w14:paraId="06A141C8" w14:textId="77777777" w:rsidR="00507931" w:rsidRDefault="00507931">
      <w:pPr>
        <w:widowControl/>
        <w:spacing w:line="259" w:lineRule="auto"/>
        <w:rPr>
          <w:sz w:val="22"/>
          <w:szCs w:val="22"/>
        </w:rPr>
      </w:pPr>
    </w:p>
    <w:p w14:paraId="73653B91" w14:textId="77777777" w:rsidR="00507931" w:rsidRDefault="00507931">
      <w:pPr>
        <w:widowControl/>
        <w:spacing w:line="259" w:lineRule="auto"/>
        <w:rPr>
          <w:sz w:val="22"/>
          <w:szCs w:val="22"/>
        </w:rPr>
      </w:pPr>
    </w:p>
    <w:p w14:paraId="0DAB266F" w14:textId="77777777" w:rsidR="00507931" w:rsidRDefault="009A2E9A">
      <w:pPr>
        <w:pStyle w:val="Heading2"/>
      </w:pPr>
      <w:r>
        <w:t>Alignment of Assignments with Course Competencies and Program Student Learning Outcomes</w:t>
      </w:r>
    </w:p>
    <w:p w14:paraId="79EE346E" w14:textId="77777777" w:rsidR="00507931" w:rsidRDefault="00507931">
      <w:pPr>
        <w:widowControl/>
        <w:rPr>
          <w:b/>
          <w:sz w:val="22"/>
          <w:szCs w:val="22"/>
        </w:rPr>
      </w:pPr>
    </w:p>
    <w:tbl>
      <w:tblPr>
        <w:tblStyle w:val="a1"/>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507931" w14:paraId="53C1C7FA" w14:textId="77777777">
        <w:tc>
          <w:tcPr>
            <w:tcW w:w="3116" w:type="dxa"/>
          </w:tcPr>
          <w:p w14:paraId="425E646F" w14:textId="77777777" w:rsidR="00507931" w:rsidRDefault="009A2E9A">
            <w:pPr>
              <w:widowControl/>
              <w:contextualSpacing w:val="0"/>
              <w:rPr>
                <w:rFonts w:ascii="Times New Roman" w:eastAsia="Times New Roman" w:hAnsi="Times New Roman" w:cs="Times New Roman"/>
                <w:b/>
              </w:rPr>
            </w:pPr>
            <w:r>
              <w:rPr>
                <w:rFonts w:ascii="Times New Roman" w:eastAsia="Times New Roman" w:hAnsi="Times New Roman" w:cs="Times New Roman"/>
                <w:b/>
              </w:rPr>
              <w:t>Course Competency</w:t>
            </w:r>
          </w:p>
        </w:tc>
        <w:tc>
          <w:tcPr>
            <w:tcW w:w="3117" w:type="dxa"/>
          </w:tcPr>
          <w:p w14:paraId="3A3FD58F" w14:textId="77777777" w:rsidR="00507931" w:rsidRDefault="009A2E9A">
            <w:pPr>
              <w:widowControl/>
              <w:contextualSpacing w:val="0"/>
              <w:rPr>
                <w:rFonts w:ascii="Times New Roman" w:eastAsia="Times New Roman" w:hAnsi="Times New Roman" w:cs="Times New Roman"/>
                <w:b/>
              </w:rPr>
            </w:pPr>
            <w:r>
              <w:rPr>
                <w:rFonts w:ascii="Times New Roman" w:eastAsia="Times New Roman" w:hAnsi="Times New Roman" w:cs="Times New Roman"/>
                <w:b/>
              </w:rPr>
              <w:t>MBA SLOs</w:t>
            </w:r>
          </w:p>
        </w:tc>
        <w:tc>
          <w:tcPr>
            <w:tcW w:w="3117" w:type="dxa"/>
          </w:tcPr>
          <w:p w14:paraId="3DF0A39E" w14:textId="77777777" w:rsidR="00507931" w:rsidRDefault="009A2E9A">
            <w:pPr>
              <w:widowControl/>
              <w:contextualSpacing w:val="0"/>
              <w:rPr>
                <w:rFonts w:ascii="Times New Roman" w:eastAsia="Times New Roman" w:hAnsi="Times New Roman" w:cs="Times New Roman"/>
                <w:b/>
              </w:rPr>
            </w:pPr>
            <w:r>
              <w:rPr>
                <w:rFonts w:ascii="Times New Roman" w:eastAsia="Times New Roman" w:hAnsi="Times New Roman" w:cs="Times New Roman"/>
                <w:b/>
              </w:rPr>
              <w:t>Measurement(s)</w:t>
            </w:r>
          </w:p>
        </w:tc>
      </w:tr>
      <w:tr w:rsidR="00507931" w14:paraId="78C89281" w14:textId="77777777">
        <w:tc>
          <w:tcPr>
            <w:tcW w:w="3116" w:type="dxa"/>
          </w:tcPr>
          <w:p w14:paraId="4C21AB05"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1. Develop technical competence in data mining techniques.</w:t>
            </w:r>
          </w:p>
        </w:tc>
        <w:tc>
          <w:tcPr>
            <w:tcW w:w="3117" w:type="dxa"/>
          </w:tcPr>
          <w:p w14:paraId="42AAB98E"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SLO 2.1: Students will effectively apply strategic tools to position their organizations for a changing marketplace.</w:t>
            </w:r>
          </w:p>
          <w:p w14:paraId="2A9D5527" w14:textId="77777777" w:rsidR="00507931" w:rsidRDefault="00507931">
            <w:pPr>
              <w:widowControl/>
              <w:contextualSpacing w:val="0"/>
              <w:rPr>
                <w:rFonts w:ascii="Times New Roman" w:eastAsia="Times New Roman" w:hAnsi="Times New Roman" w:cs="Times New Roman"/>
              </w:rPr>
            </w:pPr>
          </w:p>
          <w:p w14:paraId="70D88777"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SLO 3.1: Students will utilize organizational practices and tools to collect, analyze, interpret, and use data to make decisions across a wide array of topics.</w:t>
            </w:r>
          </w:p>
        </w:tc>
        <w:tc>
          <w:tcPr>
            <w:tcW w:w="3117" w:type="dxa"/>
          </w:tcPr>
          <w:p w14:paraId="3DD1D951"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Introduction to Practical Analytics Assignments</w:t>
            </w:r>
          </w:p>
          <w:p w14:paraId="368AC048" w14:textId="77777777" w:rsidR="00507931" w:rsidRDefault="00507931">
            <w:pPr>
              <w:widowControl/>
              <w:contextualSpacing w:val="0"/>
              <w:rPr>
                <w:rFonts w:ascii="Times New Roman" w:eastAsia="Times New Roman" w:hAnsi="Times New Roman" w:cs="Times New Roman"/>
              </w:rPr>
            </w:pPr>
          </w:p>
          <w:p w14:paraId="03FF6B6B"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Final Report: Discovering Competitive Advantages</w:t>
            </w:r>
          </w:p>
        </w:tc>
      </w:tr>
      <w:tr w:rsidR="00507931" w14:paraId="1C90567D" w14:textId="77777777">
        <w:tc>
          <w:tcPr>
            <w:tcW w:w="3116" w:type="dxa"/>
          </w:tcPr>
          <w:p w14:paraId="41A94644"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2. Extract meaning from large data sets using enterprise level software.</w:t>
            </w:r>
          </w:p>
        </w:tc>
        <w:tc>
          <w:tcPr>
            <w:tcW w:w="3117" w:type="dxa"/>
          </w:tcPr>
          <w:p w14:paraId="15F96BA8"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SLO 2.1</w:t>
            </w:r>
          </w:p>
          <w:p w14:paraId="1CA3D46A" w14:textId="77777777" w:rsidR="00507931" w:rsidRDefault="00507931">
            <w:pPr>
              <w:widowControl/>
              <w:contextualSpacing w:val="0"/>
              <w:rPr>
                <w:rFonts w:ascii="Times New Roman" w:eastAsia="Times New Roman" w:hAnsi="Times New Roman" w:cs="Times New Roman"/>
              </w:rPr>
            </w:pPr>
          </w:p>
          <w:p w14:paraId="5418ABD1"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SLO 3.1</w:t>
            </w:r>
          </w:p>
          <w:p w14:paraId="51844B70" w14:textId="77777777" w:rsidR="00507931" w:rsidRDefault="00507931">
            <w:pPr>
              <w:widowControl/>
              <w:contextualSpacing w:val="0"/>
              <w:rPr>
                <w:rFonts w:ascii="Times New Roman" w:eastAsia="Times New Roman" w:hAnsi="Times New Roman" w:cs="Times New Roman"/>
              </w:rPr>
            </w:pPr>
          </w:p>
          <w:p w14:paraId="5B4EF1B6"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SLO 3.2: Students will report findings clearly and with appropriate recognition of the findings’ limitations.</w:t>
            </w:r>
          </w:p>
        </w:tc>
        <w:tc>
          <w:tcPr>
            <w:tcW w:w="3117" w:type="dxa"/>
          </w:tcPr>
          <w:p w14:paraId="7E9BADC7"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 xml:space="preserve">Data Mining </w:t>
            </w:r>
            <w:proofErr w:type="gramStart"/>
            <w:r>
              <w:rPr>
                <w:rFonts w:ascii="Times New Roman" w:eastAsia="Times New Roman" w:hAnsi="Times New Roman" w:cs="Times New Roman"/>
              </w:rPr>
              <w:t>With</w:t>
            </w:r>
            <w:proofErr w:type="gramEnd"/>
            <w:r>
              <w:rPr>
                <w:rFonts w:ascii="Times New Roman" w:eastAsia="Times New Roman" w:hAnsi="Times New Roman" w:cs="Times New Roman"/>
              </w:rPr>
              <w:t xml:space="preserve"> Enterprise Applications Assignments</w:t>
            </w:r>
          </w:p>
          <w:p w14:paraId="3566A341" w14:textId="77777777" w:rsidR="00507931" w:rsidRDefault="00507931">
            <w:pPr>
              <w:widowControl/>
              <w:contextualSpacing w:val="0"/>
              <w:rPr>
                <w:rFonts w:ascii="Times New Roman" w:eastAsia="Times New Roman" w:hAnsi="Times New Roman" w:cs="Times New Roman"/>
              </w:rPr>
            </w:pPr>
          </w:p>
          <w:p w14:paraId="3D91C71C"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Final Report: Discovering Competitive Advantages</w:t>
            </w:r>
          </w:p>
        </w:tc>
      </w:tr>
      <w:tr w:rsidR="00507931" w14:paraId="22748917" w14:textId="77777777">
        <w:tc>
          <w:tcPr>
            <w:tcW w:w="3116" w:type="dxa"/>
          </w:tcPr>
          <w:p w14:paraId="6852C0AA"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3. Create basic visualizations for use in making business decisions.</w:t>
            </w:r>
          </w:p>
        </w:tc>
        <w:tc>
          <w:tcPr>
            <w:tcW w:w="3117" w:type="dxa"/>
          </w:tcPr>
          <w:p w14:paraId="49B62FFF"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SLO 3.1</w:t>
            </w:r>
          </w:p>
          <w:p w14:paraId="6D5C153D" w14:textId="77777777" w:rsidR="00507931" w:rsidRDefault="00507931">
            <w:pPr>
              <w:widowControl/>
              <w:contextualSpacing w:val="0"/>
              <w:rPr>
                <w:rFonts w:ascii="Times New Roman" w:eastAsia="Times New Roman" w:hAnsi="Times New Roman" w:cs="Times New Roman"/>
              </w:rPr>
            </w:pPr>
          </w:p>
          <w:p w14:paraId="00A7A991"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SLO 3.2</w:t>
            </w:r>
          </w:p>
        </w:tc>
        <w:tc>
          <w:tcPr>
            <w:tcW w:w="3117" w:type="dxa"/>
          </w:tcPr>
          <w:p w14:paraId="3B20E270"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Data Visualization Assignments</w:t>
            </w:r>
          </w:p>
          <w:p w14:paraId="779BB675" w14:textId="77777777" w:rsidR="00507931" w:rsidRDefault="00507931">
            <w:pPr>
              <w:widowControl/>
              <w:contextualSpacing w:val="0"/>
              <w:rPr>
                <w:rFonts w:ascii="Times New Roman" w:eastAsia="Times New Roman" w:hAnsi="Times New Roman" w:cs="Times New Roman"/>
              </w:rPr>
            </w:pPr>
          </w:p>
          <w:p w14:paraId="2BB38EA8"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Final Report: Discovering Competitive Advantages</w:t>
            </w:r>
          </w:p>
        </w:tc>
      </w:tr>
      <w:tr w:rsidR="00507931" w14:paraId="1AE3329B" w14:textId="77777777">
        <w:tc>
          <w:tcPr>
            <w:tcW w:w="3116" w:type="dxa"/>
          </w:tcPr>
          <w:p w14:paraId="6BBC0AD3"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4. Interpret multiple views of data analysis outcomes.</w:t>
            </w:r>
          </w:p>
        </w:tc>
        <w:tc>
          <w:tcPr>
            <w:tcW w:w="3117" w:type="dxa"/>
          </w:tcPr>
          <w:p w14:paraId="27F827D5"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SLO 2.1</w:t>
            </w:r>
          </w:p>
          <w:p w14:paraId="761CCE7F" w14:textId="77777777" w:rsidR="00507931" w:rsidRDefault="00507931">
            <w:pPr>
              <w:widowControl/>
              <w:contextualSpacing w:val="0"/>
              <w:rPr>
                <w:rFonts w:ascii="Times New Roman" w:eastAsia="Times New Roman" w:hAnsi="Times New Roman" w:cs="Times New Roman"/>
              </w:rPr>
            </w:pPr>
          </w:p>
          <w:p w14:paraId="4A2AE036"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SLO 3.1</w:t>
            </w:r>
          </w:p>
          <w:p w14:paraId="69E85E0B" w14:textId="77777777" w:rsidR="00507931" w:rsidRDefault="00507931">
            <w:pPr>
              <w:widowControl/>
              <w:contextualSpacing w:val="0"/>
              <w:rPr>
                <w:rFonts w:ascii="Times New Roman" w:eastAsia="Times New Roman" w:hAnsi="Times New Roman" w:cs="Times New Roman"/>
              </w:rPr>
            </w:pPr>
          </w:p>
          <w:p w14:paraId="126CB174"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SLO 3.2</w:t>
            </w:r>
          </w:p>
        </w:tc>
        <w:tc>
          <w:tcPr>
            <w:tcW w:w="3117" w:type="dxa"/>
          </w:tcPr>
          <w:p w14:paraId="6EE0605E"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 xml:space="preserve">Data Mining </w:t>
            </w:r>
            <w:proofErr w:type="gramStart"/>
            <w:r>
              <w:rPr>
                <w:rFonts w:ascii="Times New Roman" w:eastAsia="Times New Roman" w:hAnsi="Times New Roman" w:cs="Times New Roman"/>
              </w:rPr>
              <w:t>With</w:t>
            </w:r>
            <w:proofErr w:type="gramEnd"/>
            <w:r>
              <w:rPr>
                <w:rFonts w:ascii="Times New Roman" w:eastAsia="Times New Roman" w:hAnsi="Times New Roman" w:cs="Times New Roman"/>
              </w:rPr>
              <w:t xml:space="preserve"> Enterprise Applications Assignments</w:t>
            </w:r>
          </w:p>
          <w:p w14:paraId="30DDDCF4" w14:textId="77777777" w:rsidR="00507931" w:rsidRDefault="00507931">
            <w:pPr>
              <w:widowControl/>
              <w:contextualSpacing w:val="0"/>
              <w:rPr>
                <w:rFonts w:ascii="Times New Roman" w:eastAsia="Times New Roman" w:hAnsi="Times New Roman" w:cs="Times New Roman"/>
              </w:rPr>
            </w:pPr>
          </w:p>
          <w:p w14:paraId="4A723835"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Final Report: Discovering Competitive Advantages</w:t>
            </w:r>
          </w:p>
        </w:tc>
      </w:tr>
      <w:tr w:rsidR="00507931" w14:paraId="01F0C2C1" w14:textId="77777777">
        <w:tc>
          <w:tcPr>
            <w:tcW w:w="3116" w:type="dxa"/>
          </w:tcPr>
          <w:p w14:paraId="1919269F"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5. Recognize the ethical and spiritual foundation that helps ensure quality data analysis.</w:t>
            </w:r>
          </w:p>
        </w:tc>
        <w:tc>
          <w:tcPr>
            <w:tcW w:w="3117" w:type="dxa"/>
          </w:tcPr>
          <w:p w14:paraId="74EB7215"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SLO 4.2: Students will understand and apply their personal ethical framework to business decisions.</w:t>
            </w:r>
          </w:p>
        </w:tc>
        <w:tc>
          <w:tcPr>
            <w:tcW w:w="3117" w:type="dxa"/>
          </w:tcPr>
          <w:p w14:paraId="0784850C" w14:textId="77777777" w:rsidR="00507931" w:rsidRDefault="009A2E9A">
            <w:pPr>
              <w:widowControl/>
              <w:contextualSpacing w:val="0"/>
              <w:rPr>
                <w:rFonts w:ascii="Times New Roman" w:eastAsia="Times New Roman" w:hAnsi="Times New Roman" w:cs="Times New Roman"/>
              </w:rPr>
            </w:pPr>
            <w:r>
              <w:rPr>
                <w:rFonts w:ascii="Times New Roman" w:eastAsia="Times New Roman" w:hAnsi="Times New Roman" w:cs="Times New Roman"/>
              </w:rPr>
              <w:t>Discussion Questions</w:t>
            </w:r>
          </w:p>
        </w:tc>
      </w:tr>
    </w:tbl>
    <w:p w14:paraId="0C6C0BBB" w14:textId="77777777" w:rsidR="00507931" w:rsidRDefault="00507931">
      <w:pPr>
        <w:widowControl/>
        <w:rPr>
          <w:sz w:val="22"/>
          <w:szCs w:val="22"/>
        </w:rPr>
      </w:pPr>
    </w:p>
    <w:p w14:paraId="280ABF75" w14:textId="77777777" w:rsidR="00507931" w:rsidRDefault="009A2E9A">
      <w:pPr>
        <w:pStyle w:val="Heading2"/>
      </w:pPr>
      <w:r>
        <w:t>Grades</w:t>
      </w:r>
    </w:p>
    <w:p w14:paraId="3F5FB0A7" w14:textId="77777777" w:rsidR="00507931" w:rsidRDefault="009A2E9A">
      <w:pPr>
        <w:widowControl/>
        <w:rPr>
          <w:sz w:val="22"/>
          <w:szCs w:val="22"/>
        </w:rPr>
      </w:pPr>
      <w:r>
        <w:rPr>
          <w:sz w:val="22"/>
          <w:szCs w:val="22"/>
        </w:rPr>
        <w:t>A=90-100, B=80-89, C=70-79, D=60-69, F=0-59 points.</w:t>
      </w:r>
    </w:p>
    <w:p w14:paraId="5508DA5C" w14:textId="77777777" w:rsidR="00507931" w:rsidRDefault="00507931">
      <w:pPr>
        <w:widowControl/>
        <w:spacing w:line="259" w:lineRule="auto"/>
        <w:rPr>
          <w:b/>
          <w:sz w:val="22"/>
          <w:szCs w:val="22"/>
        </w:rPr>
      </w:pPr>
    </w:p>
    <w:p w14:paraId="4FADDBEE" w14:textId="77777777" w:rsidR="00507931" w:rsidRDefault="009A2E9A">
      <w:pPr>
        <w:pStyle w:val="Heading2"/>
      </w:pPr>
      <w:r>
        <w:t xml:space="preserve">General Writing Expectations </w:t>
      </w:r>
    </w:p>
    <w:p w14:paraId="5BDB1180" w14:textId="77777777" w:rsidR="00507931" w:rsidRDefault="009A2E9A">
      <w:pPr>
        <w:widowControl/>
        <w:spacing w:line="259" w:lineRule="auto"/>
        <w:rPr>
          <w:b/>
          <w:sz w:val="22"/>
          <w:szCs w:val="22"/>
        </w:rPr>
      </w:pPr>
      <w:r>
        <w:rPr>
          <w:sz w:val="22"/>
          <w:szCs w:val="22"/>
        </w:rPr>
        <w:lastRenderedPageBreak/>
        <w:t>(Adapted from Dr. Cole Bennett, Director of the ACU Writing Center, used with permission)</w:t>
      </w:r>
    </w:p>
    <w:p w14:paraId="7E3B45BF" w14:textId="77777777" w:rsidR="00507931" w:rsidRDefault="009A2E9A">
      <w:pPr>
        <w:widowControl/>
        <w:numPr>
          <w:ilvl w:val="0"/>
          <w:numId w:val="4"/>
        </w:numPr>
        <w:spacing w:line="259" w:lineRule="auto"/>
        <w:ind w:left="720" w:hanging="360"/>
        <w:contextualSpacing/>
        <w:rPr>
          <w:sz w:val="22"/>
          <w:szCs w:val="22"/>
        </w:rPr>
      </w:pPr>
      <w:r>
        <w:rPr>
          <w:b/>
          <w:sz w:val="22"/>
          <w:szCs w:val="22"/>
        </w:rPr>
        <w:t>An excellent paper</w:t>
      </w:r>
      <w:r>
        <w:rPr>
          <w:sz w:val="22"/>
          <w:szCs w:val="22"/>
        </w:rPr>
        <w:t xml:space="preserve"> (A) will adhere carefully to the prompt; be on-topic with the appropriate scope, length, and formatting; match the rhetorical task of the assignment; and be virtually flawlessly edited.  </w:t>
      </w:r>
    </w:p>
    <w:p w14:paraId="42EF9FF5" w14:textId="77777777" w:rsidR="00507931" w:rsidRDefault="009A2E9A">
      <w:pPr>
        <w:widowControl/>
        <w:numPr>
          <w:ilvl w:val="0"/>
          <w:numId w:val="4"/>
        </w:numPr>
        <w:spacing w:line="259" w:lineRule="auto"/>
        <w:ind w:left="720" w:hanging="360"/>
        <w:contextualSpacing/>
        <w:rPr>
          <w:sz w:val="22"/>
          <w:szCs w:val="22"/>
        </w:rPr>
      </w:pPr>
      <w:r>
        <w:rPr>
          <w:b/>
          <w:sz w:val="22"/>
          <w:szCs w:val="22"/>
        </w:rPr>
        <w:t>A good paper</w:t>
      </w:r>
      <w:r>
        <w:rPr>
          <w:sz w:val="22"/>
          <w:szCs w:val="22"/>
        </w:rPr>
        <w:t xml:space="preserve"> (B) will approach the </w:t>
      </w:r>
      <w:r>
        <w:rPr>
          <w:i/>
          <w:sz w:val="22"/>
          <w:szCs w:val="22"/>
        </w:rPr>
        <w:t>excellent paper</w:t>
      </w:r>
      <w:r>
        <w:rPr>
          <w:sz w:val="22"/>
          <w:szCs w:val="22"/>
        </w:rPr>
        <w:t xml:space="preserve"> guidelines, but may have too limited a scope or fall short of editing, logical sequencing, elaboration of ideas, or well-suited research. </w:t>
      </w:r>
    </w:p>
    <w:p w14:paraId="7DD83F4F" w14:textId="77777777" w:rsidR="00507931" w:rsidRDefault="009A2E9A">
      <w:pPr>
        <w:widowControl/>
        <w:numPr>
          <w:ilvl w:val="0"/>
          <w:numId w:val="4"/>
        </w:numPr>
        <w:spacing w:line="259" w:lineRule="auto"/>
        <w:ind w:left="720" w:hanging="360"/>
        <w:contextualSpacing/>
        <w:rPr>
          <w:sz w:val="22"/>
          <w:szCs w:val="22"/>
        </w:rPr>
      </w:pPr>
      <w:r>
        <w:rPr>
          <w:b/>
          <w:sz w:val="22"/>
          <w:szCs w:val="22"/>
        </w:rPr>
        <w:t xml:space="preserve">An adequate paper </w:t>
      </w:r>
      <w:r>
        <w:rPr>
          <w:sz w:val="22"/>
          <w:szCs w:val="22"/>
        </w:rPr>
        <w:t xml:space="preserve">(C) is a readable attempt toward answering the prompt, but lacks sufficient development. </w:t>
      </w:r>
    </w:p>
    <w:p w14:paraId="6C01BA93" w14:textId="77777777" w:rsidR="00507931" w:rsidRDefault="009A2E9A">
      <w:pPr>
        <w:widowControl/>
        <w:numPr>
          <w:ilvl w:val="0"/>
          <w:numId w:val="4"/>
        </w:numPr>
        <w:spacing w:line="259" w:lineRule="auto"/>
        <w:ind w:left="720" w:hanging="360"/>
        <w:contextualSpacing/>
        <w:rPr>
          <w:sz w:val="22"/>
          <w:szCs w:val="22"/>
        </w:rPr>
      </w:pPr>
      <w:r>
        <w:rPr>
          <w:b/>
          <w:sz w:val="22"/>
          <w:szCs w:val="22"/>
        </w:rPr>
        <w:t>Sub-standard papers</w:t>
      </w:r>
      <w:r>
        <w:rPr>
          <w:sz w:val="22"/>
          <w:szCs w:val="22"/>
        </w:rPr>
        <w:t xml:space="preserve"> (D and F) fall short of acceptable business and professional standards. At the professor’s discretion, the student may be given the opportunity to revise and resubmit for half credit. </w:t>
      </w:r>
    </w:p>
    <w:p w14:paraId="195F836E" w14:textId="77777777" w:rsidR="00507931" w:rsidRDefault="00507931">
      <w:pPr>
        <w:widowControl/>
        <w:rPr>
          <w:sz w:val="22"/>
          <w:szCs w:val="22"/>
        </w:rPr>
      </w:pPr>
    </w:p>
    <w:p w14:paraId="0041C757" w14:textId="77777777" w:rsidR="00507931" w:rsidRDefault="00507931">
      <w:pPr>
        <w:widowControl/>
        <w:rPr>
          <w:sz w:val="22"/>
          <w:szCs w:val="22"/>
        </w:rPr>
      </w:pPr>
    </w:p>
    <w:p w14:paraId="768906CE" w14:textId="77777777" w:rsidR="00507931" w:rsidRDefault="009A2E9A">
      <w:pPr>
        <w:pStyle w:val="Heading1"/>
      </w:pPr>
      <w:r>
        <w:t>Academic Policies</w:t>
      </w:r>
    </w:p>
    <w:p w14:paraId="01D70181" w14:textId="77777777" w:rsidR="00507931" w:rsidRDefault="00507931">
      <w:pPr>
        <w:widowControl/>
        <w:jc w:val="center"/>
        <w:rPr>
          <w:color w:val="7030A0"/>
          <w:sz w:val="22"/>
          <w:szCs w:val="22"/>
        </w:rPr>
      </w:pPr>
    </w:p>
    <w:p w14:paraId="30616CAF" w14:textId="77777777" w:rsidR="00507931" w:rsidRDefault="009A2E9A">
      <w:pPr>
        <w:pStyle w:val="Heading2"/>
      </w:pPr>
      <w:r>
        <w:t>Faculty Roles [For courses taught by a lead teacher and facilitator – delete section if only one professor]</w:t>
      </w:r>
    </w:p>
    <w:p w14:paraId="24933F9C" w14:textId="77777777" w:rsidR="00507931" w:rsidRDefault="009A2E9A">
      <w:pPr>
        <w:widowControl/>
        <w:rPr>
          <w:sz w:val="22"/>
          <w:szCs w:val="22"/>
        </w:rPr>
      </w:pPr>
      <w:r>
        <w:rPr>
          <w:sz w:val="22"/>
          <w:szCs w:val="22"/>
        </w:rPr>
        <w:t xml:space="preserve">A lead teacher and a facilitator will guide you through this course. Each is available to you by email and, if necessary, by phone. The facilitator addresses your day-to-day needs within the course and is your primary contact person. The lead teacher is assigned to multiple sections of the course and works in a supervisory role. Please direct all questions and issues to your facilitator; however, you may contact your lead teacher if a situation arises in which you have not gotten a response from the facilitator with 48 hours. </w:t>
      </w:r>
    </w:p>
    <w:p w14:paraId="3FFBF979" w14:textId="77777777" w:rsidR="00507931" w:rsidRDefault="00507931">
      <w:pPr>
        <w:widowControl/>
        <w:rPr>
          <w:sz w:val="22"/>
          <w:szCs w:val="22"/>
        </w:rPr>
      </w:pPr>
    </w:p>
    <w:p w14:paraId="409E5A78" w14:textId="77777777" w:rsidR="00507931" w:rsidRDefault="009A2E9A">
      <w:pPr>
        <w:pStyle w:val="Heading2"/>
      </w:pPr>
      <w:r>
        <w:t>Engaged Learning in an Online Format</w:t>
      </w:r>
    </w:p>
    <w:p w14:paraId="16017A53" w14:textId="77777777" w:rsidR="00507931" w:rsidRDefault="009A2E9A">
      <w:pPr>
        <w:widowControl/>
        <w:rPr>
          <w:sz w:val="22"/>
          <w:szCs w:val="22"/>
        </w:rPr>
      </w:pPr>
      <w:r>
        <w:rPr>
          <w:sz w:val="22"/>
          <w:szCs w:val="22"/>
        </w:rPr>
        <w:t xml:space="preserve">This online course invites students into a community of engaged learners. The course consists of seven weekly modules, with a new module beginning each Tuesday morning in the Canvas LMS (Learning Management System). We expect students to log in to the course frequently (at least 5 days per week), master the course material, whether written or in other digital media formats, and to engage the professor and fellow students through the Canvas medium. Weekly individual assignments will allow students to demonstrate mastery over the course outcome and competencies. Weekly readings and discussion boards will allow students to do what advanced practitioners do: Question the material, reflect on application, note areas of interest, respectfully challenge each other, and discover connections to other readings. </w:t>
      </w:r>
    </w:p>
    <w:p w14:paraId="51BE75A1" w14:textId="77777777" w:rsidR="00507931" w:rsidRDefault="00507931">
      <w:pPr>
        <w:widowControl/>
        <w:rPr>
          <w:b/>
          <w:sz w:val="22"/>
          <w:szCs w:val="22"/>
        </w:rPr>
      </w:pPr>
    </w:p>
    <w:p w14:paraId="12B3732A" w14:textId="77777777" w:rsidR="00507931" w:rsidRDefault="009A2E9A">
      <w:pPr>
        <w:widowControl/>
        <w:rPr>
          <w:sz w:val="22"/>
          <w:szCs w:val="22"/>
        </w:rPr>
      </w:pPr>
      <w:r>
        <w:rPr>
          <w:sz w:val="22"/>
          <w:szCs w:val="22"/>
        </w:rPr>
        <w:t>Initial posts on discussion questions are due no later than 11:59 pm Central time on the stated due date. Appropriate posts are concise, focused, substantive, well-reasoned, and cite readings that support arguments or opinions. Unless stated otherwise, each student must respond to the posts of at least two other students within 48 hours of the initial post deadline.</w:t>
      </w:r>
    </w:p>
    <w:p w14:paraId="0955C54A" w14:textId="77777777" w:rsidR="00507931" w:rsidRDefault="00507931">
      <w:pPr>
        <w:widowControl/>
        <w:rPr>
          <w:sz w:val="22"/>
          <w:szCs w:val="22"/>
        </w:rPr>
      </w:pPr>
    </w:p>
    <w:p w14:paraId="3A7E4FBF" w14:textId="77777777" w:rsidR="00507931" w:rsidRDefault="009A2E9A">
      <w:pPr>
        <w:pStyle w:val="Heading2"/>
      </w:pPr>
      <w:r>
        <w:t>Assignment Due Dates</w:t>
      </w:r>
    </w:p>
    <w:p w14:paraId="1AC61E24" w14:textId="77777777" w:rsidR="00507931" w:rsidRDefault="009A2E9A">
      <w:pPr>
        <w:widowControl/>
        <w:rPr>
          <w:sz w:val="22"/>
          <w:szCs w:val="22"/>
        </w:rPr>
      </w:pPr>
      <w:r>
        <w:rPr>
          <w:sz w:val="22"/>
          <w:szCs w:val="22"/>
        </w:rPr>
        <w:t>Please refer to the Canvas LMS for specific assignment and reading due dates. All deadlines are set for 11:59pm Central time and will occur on Tuesday, Thursday, Saturday or Monday. Any submission received after 8:00am Central time of the day following the deadline will incur an automatic 30% deduction; any submission not received within 1 week of the deadline will receive a zero. Required follow-up to a discussion question is due within 48 hours of the initial post deadline. If you are having difficulty completing an assignment on time, please consult with your course facilitator immediately</w:t>
      </w:r>
      <w:r>
        <w:rPr>
          <w:b/>
          <w:sz w:val="22"/>
          <w:szCs w:val="22"/>
        </w:rPr>
        <w:t>.</w:t>
      </w:r>
    </w:p>
    <w:p w14:paraId="3D7F170E" w14:textId="77777777" w:rsidR="00507931" w:rsidRDefault="00507931">
      <w:pPr>
        <w:widowControl/>
        <w:rPr>
          <w:sz w:val="22"/>
          <w:szCs w:val="22"/>
        </w:rPr>
      </w:pPr>
    </w:p>
    <w:p w14:paraId="4FA454F8" w14:textId="77777777" w:rsidR="00507931" w:rsidRDefault="009A2E9A">
      <w:pPr>
        <w:pStyle w:val="Heading2"/>
      </w:pPr>
      <w:r>
        <w:t>Incomplete Policy</w:t>
      </w:r>
    </w:p>
    <w:p w14:paraId="6E5C829C" w14:textId="77777777" w:rsidR="00507931" w:rsidRDefault="009A2E9A">
      <w:pPr>
        <w:widowControl/>
        <w:rPr>
          <w:sz w:val="22"/>
          <w:szCs w:val="22"/>
        </w:rPr>
      </w:pPr>
      <w:r>
        <w:rPr>
          <w:sz w:val="22"/>
          <w:szCs w:val="22"/>
        </w:rPr>
        <w:t>ACU Online policy states that all required work for an online course must be completed within the time framework established by that particular course's assignment calendar. Neither the facilitator nor the lead teacher is allowed to enter a grade of "Incomplete" for any student.</w:t>
      </w:r>
    </w:p>
    <w:p w14:paraId="6E0B96AD" w14:textId="77777777" w:rsidR="00507931" w:rsidRDefault="00507931">
      <w:pPr>
        <w:widowControl/>
        <w:rPr>
          <w:sz w:val="22"/>
          <w:szCs w:val="22"/>
        </w:rPr>
      </w:pPr>
    </w:p>
    <w:p w14:paraId="4DA05C5D" w14:textId="77777777" w:rsidR="00507931" w:rsidRDefault="009A2E9A">
      <w:pPr>
        <w:widowControl/>
        <w:rPr>
          <w:sz w:val="22"/>
          <w:szCs w:val="22"/>
        </w:rPr>
      </w:pPr>
      <w:r>
        <w:rPr>
          <w:sz w:val="22"/>
          <w:szCs w:val="22"/>
        </w:rPr>
        <w:lastRenderedPageBreak/>
        <w:t>No grade of Incomplete will be given as a final course grade. A student will receive the grade earned at the conclusion of the course. In extreme circumstances, the student may request additional time to complete course assignments from the lead teacher. This request must be submitted in writing during the course term. The request must include the circumstances that have led to the necessity of the requested extension, along with a detailed plan of action which outlines how each assignment will be completed and proposes a date of completion. This request must be received by the lead teacher before the final day of class. In the rare situation that the request is approved, a submission date will be set by the lead teacher. At the agreed time, the submitted assignments will be graded, and if appropriate, the course grade will be changed.</w:t>
      </w:r>
    </w:p>
    <w:p w14:paraId="1C043CD2" w14:textId="77777777" w:rsidR="00507931" w:rsidRDefault="00507931">
      <w:pPr>
        <w:widowControl/>
        <w:rPr>
          <w:sz w:val="22"/>
          <w:szCs w:val="22"/>
        </w:rPr>
      </w:pPr>
    </w:p>
    <w:p w14:paraId="699E0061" w14:textId="77777777" w:rsidR="00507931" w:rsidRDefault="009A2E9A">
      <w:pPr>
        <w:pStyle w:val="Heading2"/>
      </w:pPr>
      <w:r>
        <w:t>Adults with Disabilities</w:t>
      </w:r>
    </w:p>
    <w:p w14:paraId="6D817D00" w14:textId="77777777" w:rsidR="00507931" w:rsidRDefault="009A2E9A">
      <w:pPr>
        <w:widowControl/>
        <w:rPr>
          <w:sz w:val="22"/>
          <w:szCs w:val="22"/>
        </w:rPr>
      </w:pPr>
      <w:r>
        <w:rPr>
          <w:sz w:val="22"/>
          <w:szCs w:val="22"/>
        </w:rPr>
        <w:t>Abilene Christian University is dedicated to removing barriers and opening access for students with disabilities in compliance with ADA and Section 504 of the Rehabilitation Act. The Alpha Scholars Program facilitates disability accommodations in cooperation with instructors. In order to receive accommodations, you must be registered with Alpha Scholars Program, and you must complete a specific request for each class in which you need accommodations. If you have a documented disability and wish to discuss academic accommodations, please call our office directly at (325) 674-2667 or email our compliance coordinator, Scott Self, at jss00c@acu.edu.</w:t>
      </w:r>
    </w:p>
    <w:p w14:paraId="1BA55B31" w14:textId="77777777" w:rsidR="00507931" w:rsidRDefault="00507931">
      <w:pPr>
        <w:widowControl/>
        <w:rPr>
          <w:b/>
          <w:sz w:val="22"/>
          <w:szCs w:val="22"/>
        </w:rPr>
      </w:pPr>
    </w:p>
    <w:p w14:paraId="31A839BF" w14:textId="77777777" w:rsidR="00507931" w:rsidRDefault="009A2E9A">
      <w:pPr>
        <w:pStyle w:val="Heading2"/>
      </w:pPr>
      <w:r>
        <w:t>Questionable Materials</w:t>
      </w:r>
    </w:p>
    <w:p w14:paraId="1DBC3126" w14:textId="77777777" w:rsidR="00507931" w:rsidRDefault="009A2E9A">
      <w:pPr>
        <w:widowControl/>
        <w:rPr>
          <w:sz w:val="22"/>
          <w:szCs w:val="22"/>
        </w:rPr>
      </w:pPr>
      <w:r>
        <w:rPr>
          <w:sz w:val="22"/>
          <w:szCs w:val="22"/>
        </w:rPr>
        <w:t>Occasionally, Abilene Christian University course designers and professors will include readings or audio-visual materials in courses that some individuals might deem offensive or questionable. The selection of activities, readings, and media are thoughtfully and prayerfully made. The decision to include such materials is made after careful consideration of several questions:</w:t>
      </w:r>
    </w:p>
    <w:p w14:paraId="57B653B3" w14:textId="77777777" w:rsidR="00507931" w:rsidRDefault="009A2E9A">
      <w:pPr>
        <w:widowControl/>
        <w:numPr>
          <w:ilvl w:val="0"/>
          <w:numId w:val="5"/>
        </w:numPr>
        <w:ind w:hanging="360"/>
        <w:contextualSpacing/>
        <w:rPr>
          <w:sz w:val="22"/>
          <w:szCs w:val="22"/>
        </w:rPr>
      </w:pPr>
      <w:r>
        <w:rPr>
          <w:sz w:val="22"/>
          <w:szCs w:val="22"/>
        </w:rPr>
        <w:t>Does the material simulate or portray actual life experience that enhances the learning potential of this course?</w:t>
      </w:r>
    </w:p>
    <w:p w14:paraId="08B5CC27" w14:textId="77777777" w:rsidR="00507931" w:rsidRDefault="009A2E9A">
      <w:pPr>
        <w:widowControl/>
        <w:numPr>
          <w:ilvl w:val="0"/>
          <w:numId w:val="5"/>
        </w:numPr>
        <w:ind w:hanging="360"/>
        <w:contextualSpacing/>
        <w:rPr>
          <w:sz w:val="22"/>
          <w:szCs w:val="22"/>
        </w:rPr>
      </w:pPr>
      <w:r>
        <w:rPr>
          <w:sz w:val="22"/>
          <w:szCs w:val="22"/>
        </w:rPr>
        <w:t>Does the material deliver the information or experience in a manner that does not overly exaggerate or exploit the portrayal?</w:t>
      </w:r>
    </w:p>
    <w:p w14:paraId="4165AAA4" w14:textId="77777777" w:rsidR="00507931" w:rsidRDefault="009A2E9A">
      <w:pPr>
        <w:widowControl/>
        <w:numPr>
          <w:ilvl w:val="0"/>
          <w:numId w:val="5"/>
        </w:numPr>
        <w:ind w:hanging="360"/>
        <w:contextualSpacing/>
        <w:rPr>
          <w:sz w:val="22"/>
          <w:szCs w:val="22"/>
        </w:rPr>
      </w:pPr>
      <w:r>
        <w:rPr>
          <w:sz w:val="22"/>
          <w:szCs w:val="22"/>
        </w:rPr>
        <w:t>Are there other, less objectionable, materials that could be employed to provide an equal or superior learning experience?</w:t>
      </w:r>
    </w:p>
    <w:p w14:paraId="74503170" w14:textId="77777777" w:rsidR="00507931" w:rsidRDefault="009A2E9A">
      <w:pPr>
        <w:widowControl/>
        <w:rPr>
          <w:sz w:val="22"/>
          <w:szCs w:val="22"/>
        </w:rPr>
      </w:pPr>
      <w:r>
        <w:rPr>
          <w:sz w:val="22"/>
          <w:szCs w:val="22"/>
        </w:rPr>
        <w:t>When such questionable materials are employed, every effort is made to prepare students for exposure to the materials and to provide an appropriate advisory statement.</w:t>
      </w:r>
    </w:p>
    <w:p w14:paraId="43858A0D" w14:textId="77777777" w:rsidR="00507931" w:rsidRDefault="00507931">
      <w:pPr>
        <w:widowControl/>
        <w:ind w:left="270" w:hanging="270"/>
        <w:rPr>
          <w:sz w:val="22"/>
          <w:szCs w:val="22"/>
        </w:rPr>
      </w:pPr>
    </w:p>
    <w:p w14:paraId="750DF201" w14:textId="77777777" w:rsidR="00507931" w:rsidRDefault="009A2E9A">
      <w:pPr>
        <w:pStyle w:val="Heading2"/>
      </w:pPr>
      <w:r>
        <w:t>COBA Honor Code</w:t>
      </w:r>
    </w:p>
    <w:p w14:paraId="330A1609" w14:textId="77777777" w:rsidR="00507931" w:rsidRDefault="009A2E9A">
      <w:pPr>
        <w:widowControl/>
        <w:rPr>
          <w:sz w:val="22"/>
          <w:szCs w:val="22"/>
        </w:rPr>
      </w:pPr>
      <w:r>
        <w:rPr>
          <w:sz w:val="22"/>
          <w:szCs w:val="22"/>
        </w:rPr>
        <w:t>In joining ACU’s College of Business Administration, students, faculty, and staff covenant to abide by the following ethical principles:</w:t>
      </w:r>
    </w:p>
    <w:p w14:paraId="24FC32E9" w14:textId="77777777" w:rsidR="00507931" w:rsidRDefault="009A2E9A">
      <w:pPr>
        <w:widowControl/>
        <w:numPr>
          <w:ilvl w:val="0"/>
          <w:numId w:val="7"/>
        </w:numPr>
        <w:ind w:hanging="360"/>
        <w:contextualSpacing/>
        <w:rPr>
          <w:sz w:val="22"/>
          <w:szCs w:val="22"/>
        </w:rPr>
      </w:pPr>
      <w:r>
        <w:rPr>
          <w:b/>
          <w:sz w:val="22"/>
          <w:szCs w:val="22"/>
        </w:rPr>
        <w:t>Competence</w:t>
      </w:r>
      <w:r>
        <w:rPr>
          <w:sz w:val="22"/>
          <w:szCs w:val="22"/>
        </w:rPr>
        <w:t xml:space="preserve"> – To lead and serve well requires competence. And to become competent requires diligence and hard work. We owe it to all who have prepared the way and who will follow in our footsteps, to be good stewards of opportunities and resources. Thus, in all you do: set priorities, seek excellence and professionalism in your work, satisfy requirements, and take responsibility for your learning and performance. You cannot build competence if you lie, cheat, steal, or tolerate those who do.</w:t>
      </w:r>
    </w:p>
    <w:p w14:paraId="7A39CDBD" w14:textId="77777777" w:rsidR="00507931" w:rsidRDefault="009A2E9A">
      <w:pPr>
        <w:widowControl/>
        <w:numPr>
          <w:ilvl w:val="0"/>
          <w:numId w:val="7"/>
        </w:numPr>
        <w:ind w:hanging="360"/>
        <w:contextualSpacing/>
        <w:rPr>
          <w:sz w:val="22"/>
          <w:szCs w:val="22"/>
        </w:rPr>
      </w:pPr>
      <w:r>
        <w:rPr>
          <w:b/>
          <w:sz w:val="22"/>
          <w:szCs w:val="22"/>
        </w:rPr>
        <w:t>Character</w:t>
      </w:r>
      <w:r>
        <w:rPr>
          <w:sz w:val="22"/>
          <w:szCs w:val="22"/>
        </w:rPr>
        <w:t xml:space="preserve"> –</w:t>
      </w:r>
      <w:r>
        <w:rPr>
          <w:b/>
          <w:sz w:val="22"/>
          <w:szCs w:val="22"/>
        </w:rPr>
        <w:t xml:space="preserve"> </w:t>
      </w:r>
      <w:r>
        <w:rPr>
          <w:sz w:val="22"/>
          <w:szCs w:val="22"/>
        </w:rPr>
        <w:t>A reputation of good character is built slowly through testing, yet can be destroyed in an instant by compromise or careless work, just as it can through injustice. Guard your character; it is worth more than a grade or promotion. “A good name is more desirable than great riches; to be esteemed is better than silver or gold” (Proverbs 22:1). You cannot build character if you lie, cheat, steal, or tolerate those who do.</w:t>
      </w:r>
    </w:p>
    <w:p w14:paraId="1696B53D" w14:textId="77777777" w:rsidR="00507931" w:rsidRDefault="009A2E9A">
      <w:pPr>
        <w:widowControl/>
        <w:numPr>
          <w:ilvl w:val="0"/>
          <w:numId w:val="7"/>
        </w:numPr>
        <w:ind w:hanging="360"/>
        <w:contextualSpacing/>
        <w:rPr>
          <w:sz w:val="22"/>
          <w:szCs w:val="22"/>
        </w:rPr>
      </w:pPr>
      <w:r>
        <w:rPr>
          <w:b/>
          <w:sz w:val="22"/>
          <w:szCs w:val="22"/>
        </w:rPr>
        <w:t>Community</w:t>
      </w:r>
      <w:r>
        <w:rPr>
          <w:sz w:val="22"/>
          <w:szCs w:val="22"/>
        </w:rPr>
        <w:t xml:space="preserve"> – A spirit of fellowship and mutual encouragement holds each community member accountable. Accountability leads to a healthy community through adequate preparations for the tasks at hand, respectful truthfulness in all situations, and adding value to the tasks at hand. As a community, we must hold each other accountable to the principles of competence, character, and community. You cannot build community if you lie, cheat, steal, or tolerate those who do.</w:t>
      </w:r>
    </w:p>
    <w:p w14:paraId="2EB39617" w14:textId="77777777" w:rsidR="00507931" w:rsidRDefault="00507931">
      <w:pPr>
        <w:widowControl/>
        <w:rPr>
          <w:sz w:val="22"/>
          <w:szCs w:val="22"/>
        </w:rPr>
      </w:pPr>
    </w:p>
    <w:p w14:paraId="3A91BB49" w14:textId="77777777" w:rsidR="00507931" w:rsidRDefault="009A2E9A">
      <w:pPr>
        <w:pStyle w:val="Heading2"/>
      </w:pPr>
      <w:r>
        <w:t>ACU’s Academic Integrity Policy</w:t>
      </w:r>
    </w:p>
    <w:p w14:paraId="03CAAB93" w14:textId="77777777" w:rsidR="00507931" w:rsidRDefault="009A2E9A">
      <w:pPr>
        <w:widowControl/>
        <w:rPr>
          <w:sz w:val="22"/>
          <w:szCs w:val="22"/>
        </w:rPr>
      </w:pPr>
      <w:r>
        <w:rPr>
          <w:sz w:val="22"/>
          <w:szCs w:val="22"/>
        </w:rPr>
        <w:t xml:space="preserve">Violations of academic integrity and other forms of cheating, as defined in Abilene Christian University's </w:t>
      </w:r>
      <w:hyperlink r:id="rId8">
        <w:r>
          <w:rPr>
            <w:color w:val="0000FF"/>
            <w:sz w:val="22"/>
            <w:szCs w:val="22"/>
            <w:u w:val="single"/>
          </w:rPr>
          <w:t>Academic Integrity Policy</w:t>
        </w:r>
      </w:hyperlink>
      <w:r>
        <w:rPr>
          <w:sz w:val="22"/>
          <w:szCs w:val="22"/>
        </w:rPr>
        <w:t>, involve the intention to deceive or mislead or misrepresent, and therefore are a form of lying and represent actions contrary to the behavioral norms that flow from the nature of God. Violations will be addressed as described in the policy. While the university enforces the policy, the most powerful motive for integrity and truthfulness comes from one's desire to imitate God's nature in our lives. Every member of the faculty, staff and student body is responsible for protecting the integrity of learning, scholarship and research. The full policy is available for review at the link above.</w:t>
      </w:r>
    </w:p>
    <w:p w14:paraId="1124E7E5" w14:textId="77777777" w:rsidR="00507931" w:rsidRDefault="009A2E9A">
      <w:pPr>
        <w:widowControl/>
        <w:numPr>
          <w:ilvl w:val="0"/>
          <w:numId w:val="11"/>
        </w:numPr>
        <w:ind w:hanging="360"/>
        <w:contextualSpacing/>
        <w:rPr>
          <w:sz w:val="22"/>
          <w:szCs w:val="22"/>
        </w:rPr>
      </w:pPr>
      <w:r>
        <w:rPr>
          <w:b/>
          <w:sz w:val="22"/>
          <w:szCs w:val="22"/>
        </w:rPr>
        <w:t>Plagiarism</w:t>
      </w:r>
      <w:r>
        <w:rPr>
          <w:sz w:val="22"/>
          <w:szCs w:val="22"/>
        </w:rPr>
        <w:t xml:space="preserve"> – Plagiarism is defined as use of intellectual material produced by another person without acknowledging its source. For example:</w:t>
      </w:r>
    </w:p>
    <w:p w14:paraId="4FE0E63A" w14:textId="77777777" w:rsidR="00507931" w:rsidRDefault="009A2E9A">
      <w:pPr>
        <w:widowControl/>
        <w:numPr>
          <w:ilvl w:val="0"/>
          <w:numId w:val="7"/>
        </w:numPr>
        <w:ind w:left="1080" w:hanging="360"/>
        <w:contextualSpacing/>
        <w:rPr>
          <w:sz w:val="22"/>
          <w:szCs w:val="22"/>
        </w:rPr>
      </w:pPr>
      <w:r>
        <w:rPr>
          <w:sz w:val="22"/>
          <w:szCs w:val="22"/>
        </w:rPr>
        <w:t>Wholesale copying of passages from works of others into an assignment, paper, discussion</w:t>
      </w:r>
    </w:p>
    <w:p w14:paraId="01ED1518" w14:textId="77777777" w:rsidR="00507931" w:rsidRDefault="009A2E9A">
      <w:pPr>
        <w:widowControl/>
        <w:numPr>
          <w:ilvl w:val="0"/>
          <w:numId w:val="8"/>
        </w:numPr>
        <w:ind w:left="1080" w:hanging="360"/>
        <w:contextualSpacing/>
        <w:rPr>
          <w:sz w:val="22"/>
          <w:szCs w:val="22"/>
        </w:rPr>
      </w:pPr>
      <w:r>
        <w:rPr>
          <w:sz w:val="22"/>
          <w:szCs w:val="22"/>
        </w:rPr>
        <w:t>posting, thesis or dissertation without acknowledgment.</w:t>
      </w:r>
    </w:p>
    <w:p w14:paraId="7F4EDAE9" w14:textId="77777777" w:rsidR="00507931" w:rsidRDefault="009A2E9A">
      <w:pPr>
        <w:widowControl/>
        <w:numPr>
          <w:ilvl w:val="0"/>
          <w:numId w:val="8"/>
        </w:numPr>
        <w:ind w:left="1080" w:hanging="360"/>
        <w:contextualSpacing/>
        <w:rPr>
          <w:sz w:val="22"/>
          <w:szCs w:val="22"/>
        </w:rPr>
      </w:pPr>
      <w:r>
        <w:rPr>
          <w:sz w:val="22"/>
          <w:szCs w:val="22"/>
        </w:rPr>
        <w:t>Using the views, opinions, or insights of another without acknowledgment.</w:t>
      </w:r>
    </w:p>
    <w:p w14:paraId="0F310866" w14:textId="77777777" w:rsidR="00507931" w:rsidRDefault="009A2E9A">
      <w:pPr>
        <w:widowControl/>
        <w:numPr>
          <w:ilvl w:val="0"/>
          <w:numId w:val="8"/>
        </w:numPr>
        <w:ind w:left="1080" w:hanging="360"/>
        <w:contextualSpacing/>
        <w:rPr>
          <w:sz w:val="22"/>
          <w:szCs w:val="22"/>
        </w:rPr>
      </w:pPr>
      <w:r>
        <w:rPr>
          <w:sz w:val="22"/>
          <w:szCs w:val="22"/>
        </w:rPr>
        <w:t>Paraphrasing another person's characteristic or original phraseology, metaphor, or other</w:t>
      </w:r>
    </w:p>
    <w:p w14:paraId="671BDCE3" w14:textId="77777777" w:rsidR="00507931" w:rsidRDefault="009A2E9A">
      <w:pPr>
        <w:widowControl/>
        <w:numPr>
          <w:ilvl w:val="0"/>
          <w:numId w:val="8"/>
        </w:numPr>
        <w:ind w:left="1080" w:hanging="360"/>
        <w:contextualSpacing/>
        <w:rPr>
          <w:sz w:val="22"/>
          <w:szCs w:val="22"/>
        </w:rPr>
      </w:pPr>
      <w:r>
        <w:rPr>
          <w:sz w:val="22"/>
          <w:szCs w:val="22"/>
        </w:rPr>
        <w:t>literary device without acknowledgment.</w:t>
      </w:r>
    </w:p>
    <w:p w14:paraId="32F5D445" w14:textId="77777777" w:rsidR="00507931" w:rsidRDefault="009A2E9A">
      <w:pPr>
        <w:widowControl/>
        <w:ind w:left="900" w:hanging="180"/>
        <w:rPr>
          <w:i/>
          <w:sz w:val="22"/>
          <w:szCs w:val="22"/>
        </w:rPr>
      </w:pPr>
      <w:r>
        <w:rPr>
          <w:i/>
          <w:sz w:val="22"/>
          <w:szCs w:val="22"/>
        </w:rPr>
        <w:t>Faculty members monitor student work for evidence of plagiarism.</w:t>
      </w:r>
    </w:p>
    <w:p w14:paraId="1BDD32CF" w14:textId="77777777" w:rsidR="00507931" w:rsidRDefault="009A2E9A">
      <w:pPr>
        <w:widowControl/>
        <w:numPr>
          <w:ilvl w:val="0"/>
          <w:numId w:val="11"/>
        </w:numPr>
        <w:ind w:hanging="360"/>
        <w:contextualSpacing/>
        <w:rPr>
          <w:sz w:val="22"/>
          <w:szCs w:val="22"/>
        </w:rPr>
      </w:pPr>
      <w:r>
        <w:rPr>
          <w:b/>
          <w:sz w:val="22"/>
          <w:szCs w:val="22"/>
        </w:rPr>
        <w:t>Lying</w:t>
      </w:r>
      <w:r>
        <w:rPr>
          <w:sz w:val="22"/>
          <w:szCs w:val="22"/>
        </w:rPr>
        <w:t xml:space="preserve"> – Inventing data or sources or making false attributions about the origin of material or offering a deceptive reason for an absence or delay in the completion of academic work.</w:t>
      </w:r>
    </w:p>
    <w:p w14:paraId="0FF2FD94" w14:textId="77777777" w:rsidR="00507931" w:rsidRDefault="009A2E9A">
      <w:pPr>
        <w:widowControl/>
        <w:numPr>
          <w:ilvl w:val="0"/>
          <w:numId w:val="11"/>
        </w:numPr>
        <w:ind w:hanging="360"/>
        <w:contextualSpacing/>
        <w:rPr>
          <w:sz w:val="22"/>
          <w:szCs w:val="22"/>
        </w:rPr>
      </w:pPr>
      <w:r>
        <w:rPr>
          <w:b/>
          <w:sz w:val="22"/>
          <w:szCs w:val="22"/>
        </w:rPr>
        <w:t>Cheating</w:t>
      </w:r>
      <w:r>
        <w:rPr>
          <w:sz w:val="22"/>
          <w:szCs w:val="22"/>
        </w:rPr>
        <w:t xml:space="preserve"> – Facilitating or participating in any process that circumvents the intent of any exam, test, quiz, paper, or assignment.</w:t>
      </w:r>
    </w:p>
    <w:p w14:paraId="77F6CA17" w14:textId="77777777" w:rsidR="00507931" w:rsidRDefault="00507931">
      <w:pPr>
        <w:widowControl/>
        <w:rPr>
          <w:sz w:val="22"/>
          <w:szCs w:val="22"/>
        </w:rPr>
      </w:pPr>
    </w:p>
    <w:p w14:paraId="51B3BE74" w14:textId="77777777" w:rsidR="00507931" w:rsidRDefault="009A2E9A">
      <w:pPr>
        <w:widowControl/>
        <w:rPr>
          <w:sz w:val="22"/>
          <w:szCs w:val="22"/>
        </w:rPr>
      </w:pPr>
      <w:r>
        <w:rPr>
          <w:sz w:val="22"/>
          <w:szCs w:val="22"/>
        </w:rPr>
        <w:t>Any dishonest act observed or reported will be investigated and if proven, be reported in administrative offices and records, and may be subject to any or all of the following outcomes based on severity:</w:t>
      </w:r>
    </w:p>
    <w:p w14:paraId="779E49C5" w14:textId="77777777" w:rsidR="00507931" w:rsidRDefault="009A2E9A">
      <w:pPr>
        <w:widowControl/>
        <w:numPr>
          <w:ilvl w:val="0"/>
          <w:numId w:val="9"/>
        </w:numPr>
        <w:ind w:hanging="360"/>
        <w:rPr>
          <w:sz w:val="22"/>
          <w:szCs w:val="22"/>
        </w:rPr>
      </w:pPr>
      <w:r>
        <w:rPr>
          <w:sz w:val="22"/>
          <w:szCs w:val="22"/>
        </w:rPr>
        <w:t>A zero for the assigned work</w:t>
      </w:r>
    </w:p>
    <w:p w14:paraId="0E80FE69" w14:textId="77777777" w:rsidR="00507931" w:rsidRDefault="009A2E9A">
      <w:pPr>
        <w:widowControl/>
        <w:numPr>
          <w:ilvl w:val="0"/>
          <w:numId w:val="9"/>
        </w:numPr>
        <w:spacing w:before="280"/>
        <w:ind w:hanging="360"/>
        <w:rPr>
          <w:sz w:val="22"/>
          <w:szCs w:val="22"/>
        </w:rPr>
      </w:pPr>
      <w:r>
        <w:rPr>
          <w:sz w:val="22"/>
          <w:szCs w:val="22"/>
        </w:rPr>
        <w:t>A failing grade for the course</w:t>
      </w:r>
    </w:p>
    <w:p w14:paraId="05ACAEBB" w14:textId="77777777" w:rsidR="00507931" w:rsidRDefault="009A2E9A">
      <w:pPr>
        <w:widowControl/>
        <w:numPr>
          <w:ilvl w:val="0"/>
          <w:numId w:val="9"/>
        </w:numPr>
        <w:spacing w:after="280"/>
        <w:ind w:hanging="360"/>
        <w:rPr>
          <w:sz w:val="22"/>
          <w:szCs w:val="22"/>
        </w:rPr>
      </w:pPr>
      <w:r>
        <w:rPr>
          <w:sz w:val="22"/>
          <w:szCs w:val="22"/>
        </w:rPr>
        <w:t>Dismissal from the university</w:t>
      </w:r>
    </w:p>
    <w:p w14:paraId="4CB7F255" w14:textId="77777777" w:rsidR="00507931" w:rsidRDefault="009A2E9A">
      <w:r>
        <w:br w:type="page"/>
      </w:r>
    </w:p>
    <w:p w14:paraId="47D87BC6" w14:textId="77777777" w:rsidR="00507931" w:rsidRDefault="00507931">
      <w:pPr>
        <w:widowControl/>
        <w:rPr>
          <w:b/>
          <w:i/>
          <w:color w:val="7030A0"/>
          <w:sz w:val="28"/>
          <w:szCs w:val="28"/>
        </w:rPr>
      </w:pPr>
    </w:p>
    <w:p w14:paraId="57112D0D" w14:textId="77777777" w:rsidR="00507931" w:rsidRDefault="009A2E9A">
      <w:pPr>
        <w:pStyle w:val="Heading1"/>
      </w:pPr>
      <w:bookmarkStart w:id="1" w:name="_gjdgxs" w:colFirst="0" w:colLast="0"/>
      <w:bookmarkEnd w:id="1"/>
      <w:r>
        <w:t>Reading and Assignment Schedule</w:t>
      </w:r>
    </w:p>
    <w:p w14:paraId="48FA288F" w14:textId="77777777" w:rsidR="00507931" w:rsidRDefault="00507931">
      <w:pPr>
        <w:widowControl/>
        <w:rPr>
          <w:sz w:val="22"/>
          <w:szCs w:val="22"/>
        </w:rPr>
      </w:pPr>
    </w:p>
    <w:p w14:paraId="3FF2D1D0" w14:textId="77777777" w:rsidR="00507931" w:rsidRDefault="009A2E9A">
      <w:pPr>
        <w:widowControl/>
        <w:rPr>
          <w:sz w:val="22"/>
          <w:szCs w:val="22"/>
        </w:rPr>
      </w:pPr>
      <w:r>
        <w:rPr>
          <w:sz w:val="22"/>
          <w:szCs w:val="22"/>
        </w:rPr>
        <w:t>[Note: This section will only be included for course application purposes. All of this information will be presented in the Canvas LMS.]</w:t>
      </w:r>
    </w:p>
    <w:p w14:paraId="6167E690" w14:textId="77777777" w:rsidR="00507931" w:rsidRDefault="00507931">
      <w:pPr>
        <w:widowControl/>
        <w:rPr>
          <w:sz w:val="22"/>
          <w:szCs w:val="22"/>
        </w:rPr>
      </w:pPr>
    </w:p>
    <w:p w14:paraId="6A04FF85" w14:textId="77777777" w:rsidR="00507931" w:rsidRDefault="009A2E9A">
      <w:pPr>
        <w:pStyle w:val="Heading2"/>
      </w:pPr>
      <w:r>
        <w:t>Reading Schedule by Module</w:t>
      </w:r>
    </w:p>
    <w:p w14:paraId="5CCB9005" w14:textId="77777777" w:rsidR="00507931" w:rsidRDefault="009A2E9A">
      <w:pPr>
        <w:widowControl/>
        <w:numPr>
          <w:ilvl w:val="0"/>
          <w:numId w:val="10"/>
        </w:numPr>
        <w:spacing w:line="259" w:lineRule="auto"/>
        <w:ind w:hanging="360"/>
        <w:contextualSpacing/>
        <w:rPr>
          <w:sz w:val="22"/>
          <w:szCs w:val="22"/>
        </w:rPr>
      </w:pPr>
      <w:r>
        <w:rPr>
          <w:sz w:val="22"/>
          <w:szCs w:val="22"/>
        </w:rPr>
        <w:t>Week One</w:t>
      </w:r>
    </w:p>
    <w:p w14:paraId="0860EF94" w14:textId="77777777" w:rsidR="00507931" w:rsidRDefault="009A2E9A">
      <w:pPr>
        <w:widowControl/>
        <w:numPr>
          <w:ilvl w:val="1"/>
          <w:numId w:val="10"/>
        </w:numPr>
        <w:spacing w:line="259" w:lineRule="auto"/>
        <w:ind w:hanging="360"/>
        <w:contextualSpacing/>
        <w:rPr>
          <w:sz w:val="22"/>
          <w:szCs w:val="22"/>
        </w:rPr>
      </w:pPr>
      <w:r>
        <w:rPr>
          <w:i/>
          <w:sz w:val="22"/>
          <w:szCs w:val="22"/>
        </w:rPr>
        <w:t>Practical Analytics</w:t>
      </w:r>
      <w:r>
        <w:rPr>
          <w:sz w:val="22"/>
          <w:szCs w:val="22"/>
        </w:rPr>
        <w:t xml:space="preserve"> text Ch. 1-2</w:t>
      </w:r>
    </w:p>
    <w:p w14:paraId="09D3B97D" w14:textId="77777777" w:rsidR="00507931" w:rsidRDefault="009A2E9A">
      <w:pPr>
        <w:widowControl/>
        <w:numPr>
          <w:ilvl w:val="1"/>
          <w:numId w:val="10"/>
        </w:numPr>
        <w:spacing w:line="259" w:lineRule="auto"/>
        <w:ind w:hanging="360"/>
        <w:contextualSpacing/>
        <w:rPr>
          <w:sz w:val="22"/>
          <w:szCs w:val="22"/>
        </w:rPr>
      </w:pPr>
      <w:r>
        <w:rPr>
          <w:i/>
          <w:sz w:val="22"/>
          <w:szCs w:val="22"/>
        </w:rPr>
        <w:t>Getting Data Right</w:t>
      </w:r>
      <w:r>
        <w:rPr>
          <w:sz w:val="22"/>
          <w:szCs w:val="22"/>
        </w:rPr>
        <w:t xml:space="preserve"> text, Ch. 1</w:t>
      </w:r>
    </w:p>
    <w:p w14:paraId="1A7FB725" w14:textId="77777777" w:rsidR="00507931" w:rsidRDefault="009A2E9A">
      <w:pPr>
        <w:widowControl/>
        <w:numPr>
          <w:ilvl w:val="1"/>
          <w:numId w:val="10"/>
        </w:numPr>
        <w:ind w:hanging="360"/>
        <w:rPr>
          <w:sz w:val="22"/>
          <w:szCs w:val="22"/>
        </w:rPr>
      </w:pPr>
      <w:r>
        <w:rPr>
          <w:sz w:val="22"/>
          <w:szCs w:val="22"/>
        </w:rPr>
        <w:t>Document: Getting Started: SAP HANA Assignments</w:t>
      </w:r>
    </w:p>
    <w:p w14:paraId="30A1CBE7" w14:textId="77777777" w:rsidR="00507931" w:rsidRDefault="009A2E9A">
      <w:pPr>
        <w:widowControl/>
        <w:numPr>
          <w:ilvl w:val="1"/>
          <w:numId w:val="10"/>
        </w:numPr>
        <w:spacing w:line="259" w:lineRule="auto"/>
        <w:ind w:hanging="360"/>
        <w:contextualSpacing/>
        <w:rPr>
          <w:sz w:val="22"/>
          <w:szCs w:val="22"/>
        </w:rPr>
      </w:pPr>
      <w:r>
        <w:rPr>
          <w:sz w:val="22"/>
          <w:szCs w:val="22"/>
        </w:rPr>
        <w:t>Document: Downloading the VMware Horizon Client</w:t>
      </w:r>
    </w:p>
    <w:p w14:paraId="4A181F01" w14:textId="77777777" w:rsidR="00507931" w:rsidRDefault="009A2E9A">
      <w:pPr>
        <w:widowControl/>
        <w:numPr>
          <w:ilvl w:val="1"/>
          <w:numId w:val="10"/>
        </w:numPr>
        <w:spacing w:line="259" w:lineRule="auto"/>
        <w:ind w:hanging="360"/>
        <w:contextualSpacing/>
        <w:rPr>
          <w:sz w:val="22"/>
          <w:szCs w:val="22"/>
        </w:rPr>
      </w:pPr>
      <w:r>
        <w:rPr>
          <w:sz w:val="22"/>
          <w:szCs w:val="22"/>
        </w:rPr>
        <w:t xml:space="preserve">Website: </w:t>
      </w:r>
      <w:hyperlink r:id="rId9">
        <w:r>
          <w:rPr>
            <w:color w:val="1155CC"/>
            <w:sz w:val="22"/>
            <w:szCs w:val="22"/>
            <w:u w:val="single"/>
          </w:rPr>
          <w:t>Data Science Code of Professional Conduct</w:t>
        </w:r>
      </w:hyperlink>
    </w:p>
    <w:p w14:paraId="1A6A4B26" w14:textId="77777777" w:rsidR="00507931" w:rsidRDefault="009A2E9A">
      <w:pPr>
        <w:widowControl/>
        <w:numPr>
          <w:ilvl w:val="0"/>
          <w:numId w:val="10"/>
        </w:numPr>
        <w:spacing w:line="259" w:lineRule="auto"/>
        <w:ind w:hanging="360"/>
        <w:contextualSpacing/>
        <w:rPr>
          <w:sz w:val="22"/>
          <w:szCs w:val="22"/>
        </w:rPr>
      </w:pPr>
      <w:r>
        <w:rPr>
          <w:sz w:val="22"/>
          <w:szCs w:val="22"/>
        </w:rPr>
        <w:t xml:space="preserve">Week Two </w:t>
      </w:r>
    </w:p>
    <w:p w14:paraId="7AD1A5DA" w14:textId="77777777" w:rsidR="00507931" w:rsidRDefault="009A2E9A">
      <w:pPr>
        <w:widowControl/>
        <w:numPr>
          <w:ilvl w:val="1"/>
          <w:numId w:val="10"/>
        </w:numPr>
        <w:ind w:hanging="360"/>
        <w:rPr>
          <w:sz w:val="22"/>
          <w:szCs w:val="22"/>
        </w:rPr>
      </w:pPr>
      <w:r>
        <w:rPr>
          <w:i/>
          <w:sz w:val="22"/>
          <w:szCs w:val="22"/>
        </w:rPr>
        <w:t>Practical Analytics</w:t>
      </w:r>
      <w:r>
        <w:rPr>
          <w:sz w:val="22"/>
          <w:szCs w:val="22"/>
        </w:rPr>
        <w:t xml:space="preserve"> text Ch. 3-4</w:t>
      </w:r>
    </w:p>
    <w:p w14:paraId="57D48D1C" w14:textId="77777777" w:rsidR="00507931" w:rsidRDefault="009A2E9A">
      <w:pPr>
        <w:widowControl/>
        <w:numPr>
          <w:ilvl w:val="1"/>
          <w:numId w:val="10"/>
        </w:numPr>
        <w:spacing w:line="259" w:lineRule="auto"/>
        <w:ind w:hanging="360"/>
        <w:contextualSpacing/>
        <w:rPr>
          <w:sz w:val="22"/>
          <w:szCs w:val="22"/>
        </w:rPr>
      </w:pPr>
      <w:r>
        <w:rPr>
          <w:i/>
          <w:sz w:val="22"/>
          <w:szCs w:val="22"/>
        </w:rPr>
        <w:t>Getting Data Right</w:t>
      </w:r>
      <w:r>
        <w:rPr>
          <w:sz w:val="22"/>
          <w:szCs w:val="22"/>
        </w:rPr>
        <w:t xml:space="preserve"> text, Ch. 2-3</w:t>
      </w:r>
    </w:p>
    <w:p w14:paraId="10366130" w14:textId="77777777" w:rsidR="00507931" w:rsidRDefault="009A2E9A">
      <w:pPr>
        <w:widowControl/>
        <w:numPr>
          <w:ilvl w:val="1"/>
          <w:numId w:val="10"/>
        </w:numPr>
        <w:spacing w:line="259" w:lineRule="auto"/>
        <w:ind w:hanging="360"/>
        <w:contextualSpacing/>
        <w:rPr>
          <w:sz w:val="22"/>
          <w:szCs w:val="22"/>
        </w:rPr>
      </w:pPr>
      <w:r>
        <w:rPr>
          <w:sz w:val="22"/>
          <w:szCs w:val="22"/>
        </w:rPr>
        <w:t>Presentation: Introduction to In Memory Databases for Analytic Applications</w:t>
      </w:r>
    </w:p>
    <w:p w14:paraId="113B2523" w14:textId="77777777" w:rsidR="00507931" w:rsidRDefault="009A2E9A">
      <w:pPr>
        <w:widowControl/>
        <w:numPr>
          <w:ilvl w:val="0"/>
          <w:numId w:val="10"/>
        </w:numPr>
        <w:spacing w:line="259" w:lineRule="auto"/>
        <w:ind w:hanging="360"/>
        <w:contextualSpacing/>
        <w:rPr>
          <w:sz w:val="22"/>
          <w:szCs w:val="22"/>
        </w:rPr>
      </w:pPr>
      <w:r>
        <w:rPr>
          <w:sz w:val="22"/>
          <w:szCs w:val="22"/>
        </w:rPr>
        <w:t>Week Three</w:t>
      </w:r>
    </w:p>
    <w:p w14:paraId="250C7A1F" w14:textId="77777777" w:rsidR="00507931" w:rsidRDefault="009A2E9A">
      <w:pPr>
        <w:widowControl/>
        <w:numPr>
          <w:ilvl w:val="1"/>
          <w:numId w:val="10"/>
        </w:numPr>
        <w:spacing w:line="259" w:lineRule="auto"/>
        <w:ind w:hanging="360"/>
        <w:contextualSpacing/>
        <w:rPr>
          <w:sz w:val="22"/>
          <w:szCs w:val="22"/>
        </w:rPr>
      </w:pPr>
      <w:r>
        <w:rPr>
          <w:i/>
          <w:sz w:val="22"/>
          <w:szCs w:val="22"/>
        </w:rPr>
        <w:t>Practical Analytics</w:t>
      </w:r>
      <w:r>
        <w:rPr>
          <w:sz w:val="22"/>
          <w:szCs w:val="22"/>
        </w:rPr>
        <w:t xml:space="preserve"> text Ch. 5-6</w:t>
      </w:r>
    </w:p>
    <w:p w14:paraId="6AB5B8E6" w14:textId="77777777" w:rsidR="00507931" w:rsidRDefault="009A2E9A">
      <w:pPr>
        <w:widowControl/>
        <w:numPr>
          <w:ilvl w:val="0"/>
          <w:numId w:val="10"/>
        </w:numPr>
        <w:spacing w:line="259" w:lineRule="auto"/>
        <w:ind w:hanging="360"/>
        <w:contextualSpacing/>
        <w:rPr>
          <w:sz w:val="22"/>
          <w:szCs w:val="22"/>
        </w:rPr>
      </w:pPr>
      <w:r>
        <w:rPr>
          <w:sz w:val="22"/>
          <w:szCs w:val="22"/>
        </w:rPr>
        <w:t>Week Four</w:t>
      </w:r>
    </w:p>
    <w:p w14:paraId="58832DE3" w14:textId="77777777" w:rsidR="00507931" w:rsidRDefault="009A2E9A">
      <w:pPr>
        <w:widowControl/>
        <w:numPr>
          <w:ilvl w:val="1"/>
          <w:numId w:val="10"/>
        </w:numPr>
        <w:spacing w:line="259" w:lineRule="auto"/>
        <w:ind w:hanging="360"/>
        <w:contextualSpacing/>
        <w:rPr>
          <w:sz w:val="22"/>
          <w:szCs w:val="22"/>
        </w:rPr>
      </w:pPr>
      <w:r>
        <w:rPr>
          <w:i/>
          <w:sz w:val="22"/>
          <w:szCs w:val="22"/>
        </w:rPr>
        <w:t>Practical Analytics</w:t>
      </w:r>
      <w:r>
        <w:rPr>
          <w:sz w:val="22"/>
          <w:szCs w:val="22"/>
        </w:rPr>
        <w:t xml:space="preserve"> text Ch. 7, 9</w:t>
      </w:r>
    </w:p>
    <w:p w14:paraId="3B84519B" w14:textId="77777777" w:rsidR="00507931" w:rsidRDefault="009A2E9A">
      <w:pPr>
        <w:widowControl/>
        <w:numPr>
          <w:ilvl w:val="1"/>
          <w:numId w:val="10"/>
        </w:numPr>
        <w:spacing w:line="259" w:lineRule="auto"/>
        <w:ind w:hanging="360"/>
        <w:contextualSpacing/>
        <w:rPr>
          <w:sz w:val="22"/>
          <w:szCs w:val="22"/>
        </w:rPr>
      </w:pPr>
      <w:r>
        <w:rPr>
          <w:sz w:val="22"/>
          <w:szCs w:val="22"/>
        </w:rPr>
        <w:t>Presentation: Introduction to Graphs</w:t>
      </w:r>
    </w:p>
    <w:p w14:paraId="5E3B6F9D" w14:textId="77777777" w:rsidR="00507931" w:rsidRDefault="009A2E9A">
      <w:pPr>
        <w:widowControl/>
        <w:numPr>
          <w:ilvl w:val="1"/>
          <w:numId w:val="10"/>
        </w:numPr>
        <w:spacing w:line="259" w:lineRule="auto"/>
        <w:ind w:hanging="360"/>
        <w:contextualSpacing/>
        <w:rPr>
          <w:sz w:val="22"/>
          <w:szCs w:val="22"/>
        </w:rPr>
      </w:pPr>
      <w:r>
        <w:rPr>
          <w:sz w:val="22"/>
          <w:szCs w:val="22"/>
        </w:rPr>
        <w:t>Presentation: Graph Processing on SAP HANA</w:t>
      </w:r>
    </w:p>
    <w:p w14:paraId="2935BEBE" w14:textId="77777777" w:rsidR="00507931" w:rsidRDefault="009A2E9A">
      <w:pPr>
        <w:widowControl/>
        <w:numPr>
          <w:ilvl w:val="0"/>
          <w:numId w:val="10"/>
        </w:numPr>
        <w:spacing w:line="259" w:lineRule="auto"/>
        <w:ind w:hanging="360"/>
        <w:contextualSpacing/>
        <w:rPr>
          <w:sz w:val="22"/>
          <w:szCs w:val="22"/>
        </w:rPr>
      </w:pPr>
      <w:r>
        <w:rPr>
          <w:sz w:val="22"/>
          <w:szCs w:val="22"/>
        </w:rPr>
        <w:t>Week Five</w:t>
      </w:r>
    </w:p>
    <w:p w14:paraId="0DE3374C" w14:textId="77777777" w:rsidR="00507931" w:rsidRDefault="009A2E9A">
      <w:pPr>
        <w:widowControl/>
        <w:numPr>
          <w:ilvl w:val="1"/>
          <w:numId w:val="10"/>
        </w:numPr>
        <w:spacing w:line="259" w:lineRule="auto"/>
        <w:ind w:hanging="360"/>
        <w:contextualSpacing/>
        <w:rPr>
          <w:sz w:val="22"/>
          <w:szCs w:val="22"/>
        </w:rPr>
      </w:pPr>
      <w:r>
        <w:rPr>
          <w:i/>
          <w:sz w:val="22"/>
          <w:szCs w:val="22"/>
        </w:rPr>
        <w:t>Practical Analytics</w:t>
      </w:r>
      <w:r>
        <w:rPr>
          <w:sz w:val="22"/>
          <w:szCs w:val="22"/>
        </w:rPr>
        <w:t xml:space="preserve"> text Ch. 10-11</w:t>
      </w:r>
    </w:p>
    <w:p w14:paraId="60CD21E5" w14:textId="77777777" w:rsidR="00507931" w:rsidRDefault="009A2E9A">
      <w:pPr>
        <w:widowControl/>
        <w:numPr>
          <w:ilvl w:val="1"/>
          <w:numId w:val="10"/>
        </w:numPr>
        <w:spacing w:line="259" w:lineRule="auto"/>
        <w:ind w:hanging="360"/>
        <w:contextualSpacing/>
        <w:rPr>
          <w:sz w:val="22"/>
          <w:szCs w:val="22"/>
        </w:rPr>
      </w:pPr>
      <w:r>
        <w:rPr>
          <w:i/>
          <w:sz w:val="22"/>
          <w:szCs w:val="22"/>
        </w:rPr>
        <w:t>Getting Data Right</w:t>
      </w:r>
      <w:r>
        <w:rPr>
          <w:sz w:val="22"/>
          <w:szCs w:val="22"/>
        </w:rPr>
        <w:t xml:space="preserve"> text, Ch. 4</w:t>
      </w:r>
    </w:p>
    <w:p w14:paraId="389A2C61" w14:textId="77777777" w:rsidR="00507931" w:rsidRDefault="009A2E9A">
      <w:pPr>
        <w:widowControl/>
        <w:numPr>
          <w:ilvl w:val="1"/>
          <w:numId w:val="10"/>
        </w:numPr>
        <w:ind w:hanging="360"/>
        <w:rPr>
          <w:sz w:val="22"/>
          <w:szCs w:val="22"/>
        </w:rPr>
      </w:pPr>
      <w:r>
        <w:rPr>
          <w:sz w:val="22"/>
          <w:szCs w:val="22"/>
        </w:rPr>
        <w:t xml:space="preserve">Article: </w:t>
      </w:r>
      <w:hyperlink r:id="rId10">
        <w:r>
          <w:rPr>
            <w:color w:val="1155CC"/>
            <w:sz w:val="22"/>
            <w:szCs w:val="22"/>
            <w:u w:val="single"/>
          </w:rPr>
          <w:t>The Seven Deadly Sins of Statistical Analysis</w:t>
        </w:r>
      </w:hyperlink>
    </w:p>
    <w:p w14:paraId="0DA54515" w14:textId="77777777" w:rsidR="00507931" w:rsidRDefault="009A2E9A">
      <w:pPr>
        <w:widowControl/>
        <w:numPr>
          <w:ilvl w:val="1"/>
          <w:numId w:val="10"/>
        </w:numPr>
        <w:spacing w:line="259" w:lineRule="auto"/>
        <w:ind w:hanging="360"/>
        <w:contextualSpacing/>
        <w:rPr>
          <w:sz w:val="22"/>
          <w:szCs w:val="22"/>
        </w:rPr>
      </w:pPr>
      <w:r>
        <w:rPr>
          <w:sz w:val="22"/>
          <w:szCs w:val="22"/>
        </w:rPr>
        <w:t xml:space="preserve">Article: </w:t>
      </w:r>
      <w:hyperlink r:id="rId11">
        <w:r>
          <w:rPr>
            <w:color w:val="1155CC"/>
            <w:sz w:val="22"/>
            <w:szCs w:val="22"/>
            <w:u w:val="single"/>
          </w:rPr>
          <w:t>Descriptive, Predictive, and Prescriptive Analytics</w:t>
        </w:r>
      </w:hyperlink>
    </w:p>
    <w:p w14:paraId="1857E0D1" w14:textId="77777777" w:rsidR="00507931" w:rsidRDefault="009A2E9A">
      <w:pPr>
        <w:widowControl/>
        <w:numPr>
          <w:ilvl w:val="1"/>
          <w:numId w:val="10"/>
        </w:numPr>
        <w:spacing w:line="259" w:lineRule="auto"/>
        <w:ind w:hanging="360"/>
        <w:contextualSpacing/>
        <w:rPr>
          <w:sz w:val="22"/>
          <w:szCs w:val="22"/>
        </w:rPr>
      </w:pPr>
      <w:r>
        <w:rPr>
          <w:sz w:val="22"/>
          <w:szCs w:val="22"/>
        </w:rPr>
        <w:t>Presentation: Introduction to Data Mining Within an SAP Environment</w:t>
      </w:r>
    </w:p>
    <w:p w14:paraId="7E586F83" w14:textId="77777777" w:rsidR="00507931" w:rsidRDefault="009A2E9A">
      <w:pPr>
        <w:widowControl/>
        <w:numPr>
          <w:ilvl w:val="1"/>
          <w:numId w:val="10"/>
        </w:numPr>
        <w:spacing w:line="259" w:lineRule="auto"/>
        <w:ind w:hanging="360"/>
        <w:contextualSpacing/>
        <w:rPr>
          <w:sz w:val="22"/>
          <w:szCs w:val="22"/>
        </w:rPr>
      </w:pPr>
      <w:r>
        <w:rPr>
          <w:sz w:val="22"/>
          <w:szCs w:val="22"/>
        </w:rPr>
        <w:t>Presentation: Introduction to Predictive Analytics</w:t>
      </w:r>
    </w:p>
    <w:p w14:paraId="21BB00A2" w14:textId="77777777" w:rsidR="00507931" w:rsidRDefault="009A2E9A">
      <w:pPr>
        <w:widowControl/>
        <w:numPr>
          <w:ilvl w:val="0"/>
          <w:numId w:val="10"/>
        </w:numPr>
        <w:spacing w:line="259" w:lineRule="auto"/>
        <w:ind w:hanging="360"/>
        <w:contextualSpacing/>
        <w:rPr>
          <w:sz w:val="22"/>
          <w:szCs w:val="22"/>
        </w:rPr>
      </w:pPr>
      <w:r>
        <w:rPr>
          <w:sz w:val="22"/>
          <w:szCs w:val="22"/>
        </w:rPr>
        <w:t>Week Six</w:t>
      </w:r>
    </w:p>
    <w:p w14:paraId="1E140D10" w14:textId="77777777" w:rsidR="00507931" w:rsidRDefault="009A2E9A">
      <w:pPr>
        <w:widowControl/>
        <w:numPr>
          <w:ilvl w:val="1"/>
          <w:numId w:val="10"/>
        </w:numPr>
        <w:spacing w:line="259" w:lineRule="auto"/>
        <w:ind w:hanging="360"/>
        <w:contextualSpacing/>
        <w:rPr>
          <w:sz w:val="22"/>
          <w:szCs w:val="22"/>
        </w:rPr>
      </w:pPr>
      <w:r>
        <w:rPr>
          <w:i/>
          <w:sz w:val="22"/>
          <w:szCs w:val="22"/>
        </w:rPr>
        <w:t>Practical Analytics</w:t>
      </w:r>
      <w:r>
        <w:rPr>
          <w:sz w:val="22"/>
          <w:szCs w:val="22"/>
        </w:rPr>
        <w:t xml:space="preserve"> text Ch. 12-13</w:t>
      </w:r>
    </w:p>
    <w:p w14:paraId="0245D9DC" w14:textId="77777777" w:rsidR="00507931" w:rsidRDefault="009A2E9A">
      <w:pPr>
        <w:widowControl/>
        <w:numPr>
          <w:ilvl w:val="0"/>
          <w:numId w:val="10"/>
        </w:numPr>
        <w:spacing w:line="259" w:lineRule="auto"/>
        <w:ind w:hanging="360"/>
        <w:contextualSpacing/>
        <w:rPr>
          <w:sz w:val="22"/>
          <w:szCs w:val="22"/>
        </w:rPr>
      </w:pPr>
      <w:r>
        <w:rPr>
          <w:sz w:val="22"/>
          <w:szCs w:val="22"/>
        </w:rPr>
        <w:t>Week Seven</w:t>
      </w:r>
    </w:p>
    <w:p w14:paraId="4CC3857E" w14:textId="77777777" w:rsidR="00507931" w:rsidRDefault="009A2E9A">
      <w:pPr>
        <w:widowControl/>
        <w:numPr>
          <w:ilvl w:val="1"/>
          <w:numId w:val="10"/>
        </w:numPr>
        <w:spacing w:line="259" w:lineRule="auto"/>
        <w:ind w:hanging="360"/>
        <w:contextualSpacing/>
        <w:rPr>
          <w:sz w:val="22"/>
          <w:szCs w:val="22"/>
        </w:rPr>
      </w:pPr>
      <w:r>
        <w:rPr>
          <w:i/>
          <w:sz w:val="22"/>
          <w:szCs w:val="22"/>
        </w:rPr>
        <w:t>Practical Analytics</w:t>
      </w:r>
      <w:r>
        <w:rPr>
          <w:sz w:val="22"/>
          <w:szCs w:val="22"/>
        </w:rPr>
        <w:t xml:space="preserve"> text Ch. 14</w:t>
      </w:r>
    </w:p>
    <w:p w14:paraId="03E511F0" w14:textId="77777777" w:rsidR="00507931" w:rsidRDefault="009A2E9A">
      <w:pPr>
        <w:widowControl/>
        <w:numPr>
          <w:ilvl w:val="1"/>
          <w:numId w:val="10"/>
        </w:numPr>
        <w:spacing w:line="259" w:lineRule="auto"/>
        <w:ind w:hanging="360"/>
        <w:contextualSpacing/>
        <w:rPr>
          <w:sz w:val="22"/>
          <w:szCs w:val="22"/>
        </w:rPr>
      </w:pPr>
      <w:r>
        <w:rPr>
          <w:i/>
          <w:sz w:val="22"/>
          <w:szCs w:val="22"/>
        </w:rPr>
        <w:t>Getting Data Right</w:t>
      </w:r>
      <w:r>
        <w:rPr>
          <w:sz w:val="22"/>
          <w:szCs w:val="22"/>
        </w:rPr>
        <w:t xml:space="preserve"> text, Ch. 6</w:t>
      </w:r>
    </w:p>
    <w:p w14:paraId="05EDE288" w14:textId="77777777" w:rsidR="00507931" w:rsidRDefault="00507931">
      <w:pPr>
        <w:rPr>
          <w:b/>
          <w:color w:val="7030A0"/>
          <w:sz w:val="24"/>
          <w:szCs w:val="24"/>
        </w:rPr>
      </w:pPr>
    </w:p>
    <w:p w14:paraId="121833AE" w14:textId="77777777" w:rsidR="00507931" w:rsidRDefault="009A2E9A">
      <w:pPr>
        <w:pStyle w:val="Heading2"/>
      </w:pPr>
      <w:r>
        <w:t>Assignment Schedule and Deadlines</w:t>
      </w:r>
    </w:p>
    <w:p w14:paraId="45835D7F" w14:textId="77777777" w:rsidR="00507931" w:rsidRDefault="00507931">
      <w:pPr>
        <w:rPr>
          <w:b/>
          <w:color w:val="7030A0"/>
          <w:sz w:val="24"/>
          <w:szCs w:val="24"/>
        </w:rPr>
      </w:pPr>
    </w:p>
    <w:tbl>
      <w:tblPr>
        <w:tblStyle w:val="a2"/>
        <w:tblW w:w="8362" w:type="dxa"/>
        <w:tblInd w:w="-105" w:type="dxa"/>
        <w:tblLayout w:type="fixed"/>
        <w:tblLook w:val="0400" w:firstRow="0" w:lastRow="0" w:firstColumn="0" w:lastColumn="0" w:noHBand="0" w:noVBand="1"/>
      </w:tblPr>
      <w:tblGrid>
        <w:gridCol w:w="748"/>
        <w:gridCol w:w="6804"/>
        <w:gridCol w:w="810"/>
      </w:tblGrid>
      <w:tr w:rsidR="00507931" w14:paraId="395A0E3E" w14:textId="77777777">
        <w:trPr>
          <w:trHeight w:val="260"/>
        </w:trPr>
        <w:tc>
          <w:tcPr>
            <w:tcW w:w="748"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tcPr>
          <w:p w14:paraId="5BA6AF52" w14:textId="77777777" w:rsidR="00507931" w:rsidRDefault="009A2E9A">
            <w:pPr>
              <w:rPr>
                <w:sz w:val="22"/>
                <w:szCs w:val="22"/>
              </w:rPr>
            </w:pPr>
            <w:r>
              <w:rPr>
                <w:b/>
                <w:sz w:val="22"/>
                <w:szCs w:val="22"/>
              </w:rPr>
              <w:t>Week</w:t>
            </w:r>
          </w:p>
        </w:tc>
        <w:tc>
          <w:tcPr>
            <w:tcW w:w="6804"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tcPr>
          <w:p w14:paraId="24A0C2FE" w14:textId="77777777" w:rsidR="00507931" w:rsidRDefault="009A2E9A">
            <w:pPr>
              <w:rPr>
                <w:sz w:val="22"/>
                <w:szCs w:val="22"/>
              </w:rPr>
            </w:pPr>
            <w:r>
              <w:rPr>
                <w:b/>
                <w:sz w:val="22"/>
                <w:szCs w:val="22"/>
              </w:rPr>
              <w:t>Assignment</w:t>
            </w:r>
          </w:p>
        </w:tc>
        <w:tc>
          <w:tcPr>
            <w:tcW w:w="810"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vAlign w:val="center"/>
          </w:tcPr>
          <w:p w14:paraId="46655AD2" w14:textId="77777777" w:rsidR="00507931" w:rsidRDefault="009A2E9A">
            <w:pPr>
              <w:jc w:val="center"/>
              <w:rPr>
                <w:sz w:val="22"/>
                <w:szCs w:val="22"/>
              </w:rPr>
            </w:pPr>
            <w:r>
              <w:rPr>
                <w:b/>
                <w:sz w:val="22"/>
                <w:szCs w:val="22"/>
              </w:rPr>
              <w:t>Points</w:t>
            </w:r>
          </w:p>
        </w:tc>
      </w:tr>
      <w:tr w:rsidR="00507931" w14:paraId="55EC8774" w14:textId="77777777">
        <w:trPr>
          <w:trHeight w:val="260"/>
        </w:trPr>
        <w:tc>
          <w:tcPr>
            <w:tcW w:w="74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EE14633" w14:textId="77777777" w:rsidR="00507931" w:rsidRDefault="009A2E9A">
            <w:pPr>
              <w:rPr>
                <w:sz w:val="22"/>
                <w:szCs w:val="22"/>
              </w:rPr>
            </w:pPr>
            <w:r>
              <w:rPr>
                <w:sz w:val="22"/>
                <w:szCs w:val="22"/>
              </w:rPr>
              <w:t>All</w:t>
            </w:r>
          </w:p>
        </w:tc>
        <w:tc>
          <w:tcPr>
            <w:tcW w:w="68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34EFF06" w14:textId="29A9C80F" w:rsidR="00507931" w:rsidRDefault="009A2E9A">
            <w:pPr>
              <w:rPr>
                <w:sz w:val="22"/>
                <w:szCs w:val="22"/>
              </w:rPr>
            </w:pPr>
            <w:r>
              <w:rPr>
                <w:sz w:val="22"/>
                <w:szCs w:val="22"/>
              </w:rPr>
              <w:t>Evening Synchronous Sessions</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89A639D" w14:textId="77777777" w:rsidR="00507931" w:rsidRDefault="009A2E9A">
            <w:pPr>
              <w:jc w:val="center"/>
              <w:rPr>
                <w:sz w:val="22"/>
                <w:szCs w:val="22"/>
              </w:rPr>
            </w:pPr>
            <w:r>
              <w:rPr>
                <w:sz w:val="22"/>
                <w:szCs w:val="22"/>
              </w:rPr>
              <w:t>7</w:t>
            </w:r>
          </w:p>
        </w:tc>
      </w:tr>
      <w:tr w:rsidR="00507931" w14:paraId="4137C408" w14:textId="77777777">
        <w:trPr>
          <w:trHeight w:val="260"/>
        </w:trPr>
        <w:tc>
          <w:tcPr>
            <w:tcW w:w="74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E154C13" w14:textId="77777777" w:rsidR="00507931" w:rsidRDefault="009A2E9A">
            <w:pPr>
              <w:rPr>
                <w:sz w:val="22"/>
                <w:szCs w:val="22"/>
              </w:rPr>
            </w:pPr>
            <w:r>
              <w:rPr>
                <w:sz w:val="22"/>
                <w:szCs w:val="22"/>
              </w:rPr>
              <w:t>All</w:t>
            </w:r>
          </w:p>
        </w:tc>
        <w:tc>
          <w:tcPr>
            <w:tcW w:w="68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2145410" w14:textId="77777777" w:rsidR="00507931" w:rsidRDefault="009A2E9A">
            <w:pPr>
              <w:rPr>
                <w:sz w:val="22"/>
                <w:szCs w:val="22"/>
              </w:rPr>
            </w:pPr>
            <w:r>
              <w:rPr>
                <w:sz w:val="22"/>
                <w:szCs w:val="22"/>
              </w:rPr>
              <w:t>Discussion Questions</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0E9B7AA" w14:textId="77777777" w:rsidR="00507931" w:rsidRDefault="009A2E9A">
            <w:pPr>
              <w:jc w:val="center"/>
              <w:rPr>
                <w:sz w:val="22"/>
                <w:szCs w:val="22"/>
              </w:rPr>
            </w:pPr>
            <w:r>
              <w:rPr>
                <w:sz w:val="22"/>
                <w:szCs w:val="22"/>
              </w:rPr>
              <w:t>16</w:t>
            </w:r>
          </w:p>
        </w:tc>
      </w:tr>
      <w:tr w:rsidR="00507931" w14:paraId="240CE995" w14:textId="77777777">
        <w:trPr>
          <w:trHeight w:val="260"/>
        </w:trPr>
        <w:tc>
          <w:tcPr>
            <w:tcW w:w="74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1368477E" w14:textId="77777777" w:rsidR="00507931" w:rsidRDefault="009A2E9A">
            <w:pPr>
              <w:rPr>
                <w:sz w:val="22"/>
                <w:szCs w:val="22"/>
              </w:rPr>
            </w:pPr>
            <w:r>
              <w:rPr>
                <w:rFonts w:ascii="Calibri" w:eastAsia="Calibri" w:hAnsi="Calibri" w:cs="Calibri"/>
                <w:sz w:val="22"/>
                <w:szCs w:val="22"/>
              </w:rPr>
              <w:t>1</w:t>
            </w:r>
          </w:p>
        </w:tc>
        <w:tc>
          <w:tcPr>
            <w:tcW w:w="68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228B656C" w14:textId="77777777" w:rsidR="00507931" w:rsidRDefault="009A2E9A">
            <w:pPr>
              <w:rPr>
                <w:sz w:val="22"/>
                <w:szCs w:val="22"/>
              </w:rPr>
            </w:pPr>
            <w:r>
              <w:rPr>
                <w:sz w:val="22"/>
                <w:szCs w:val="22"/>
              </w:rPr>
              <w:t>Using Excel to Extract Data from an Access Database</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58BE9FFF" w14:textId="77777777" w:rsidR="00507931" w:rsidRDefault="009A2E9A">
            <w:pPr>
              <w:jc w:val="center"/>
              <w:rPr>
                <w:sz w:val="22"/>
                <w:szCs w:val="22"/>
              </w:rPr>
            </w:pPr>
            <w:r>
              <w:rPr>
                <w:rFonts w:ascii="Calibri" w:eastAsia="Calibri" w:hAnsi="Calibri" w:cs="Calibri"/>
                <w:sz w:val="22"/>
                <w:szCs w:val="22"/>
              </w:rPr>
              <w:t>8</w:t>
            </w:r>
          </w:p>
        </w:tc>
      </w:tr>
      <w:tr w:rsidR="00507931" w14:paraId="777B3926" w14:textId="77777777">
        <w:trPr>
          <w:trHeight w:val="260"/>
        </w:trPr>
        <w:tc>
          <w:tcPr>
            <w:tcW w:w="74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1E69BAD8" w14:textId="77777777" w:rsidR="00507931" w:rsidRDefault="009A2E9A">
            <w:pPr>
              <w:rPr>
                <w:sz w:val="22"/>
                <w:szCs w:val="22"/>
              </w:rPr>
            </w:pPr>
            <w:r>
              <w:rPr>
                <w:rFonts w:ascii="Calibri" w:eastAsia="Calibri" w:hAnsi="Calibri" w:cs="Calibri"/>
                <w:sz w:val="22"/>
                <w:szCs w:val="22"/>
              </w:rPr>
              <w:lastRenderedPageBreak/>
              <w:t>2</w:t>
            </w:r>
          </w:p>
        </w:tc>
        <w:tc>
          <w:tcPr>
            <w:tcW w:w="68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5931AF68" w14:textId="77777777" w:rsidR="00507931" w:rsidRDefault="009A2E9A">
            <w:pPr>
              <w:rPr>
                <w:sz w:val="22"/>
                <w:szCs w:val="22"/>
              </w:rPr>
            </w:pPr>
            <w:r>
              <w:rPr>
                <w:sz w:val="22"/>
                <w:szCs w:val="22"/>
              </w:rPr>
              <w:t>Data Warehouse - Data Cube Analysis</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622318CC" w14:textId="77777777" w:rsidR="00507931" w:rsidRDefault="009A2E9A">
            <w:pPr>
              <w:jc w:val="center"/>
              <w:rPr>
                <w:sz w:val="22"/>
                <w:szCs w:val="22"/>
              </w:rPr>
            </w:pPr>
            <w:r>
              <w:rPr>
                <w:rFonts w:ascii="Calibri" w:eastAsia="Calibri" w:hAnsi="Calibri" w:cs="Calibri"/>
                <w:sz w:val="22"/>
                <w:szCs w:val="22"/>
              </w:rPr>
              <w:t>8</w:t>
            </w:r>
          </w:p>
        </w:tc>
      </w:tr>
      <w:tr w:rsidR="00507931" w14:paraId="3947EC67" w14:textId="77777777">
        <w:trPr>
          <w:trHeight w:val="260"/>
        </w:trPr>
        <w:tc>
          <w:tcPr>
            <w:tcW w:w="74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4D4C6E59" w14:textId="77777777" w:rsidR="00507931" w:rsidRDefault="009A2E9A">
            <w:pPr>
              <w:rPr>
                <w:sz w:val="22"/>
                <w:szCs w:val="22"/>
              </w:rPr>
            </w:pPr>
            <w:r>
              <w:rPr>
                <w:rFonts w:ascii="Calibri" w:eastAsia="Calibri" w:hAnsi="Calibri" w:cs="Calibri"/>
                <w:sz w:val="22"/>
                <w:szCs w:val="22"/>
              </w:rPr>
              <w:t>3</w:t>
            </w:r>
          </w:p>
        </w:tc>
        <w:tc>
          <w:tcPr>
            <w:tcW w:w="68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08323CCE" w14:textId="77777777" w:rsidR="00507931" w:rsidRDefault="009A2E9A">
            <w:pPr>
              <w:rPr>
                <w:sz w:val="22"/>
                <w:szCs w:val="22"/>
              </w:rPr>
            </w:pPr>
            <w:r>
              <w:rPr>
                <w:sz w:val="22"/>
                <w:szCs w:val="22"/>
              </w:rPr>
              <w:t>Data Exploration With SAP Explorer</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0A53509A" w14:textId="77777777" w:rsidR="00507931" w:rsidRDefault="009A2E9A">
            <w:pPr>
              <w:jc w:val="center"/>
              <w:rPr>
                <w:sz w:val="22"/>
                <w:szCs w:val="22"/>
              </w:rPr>
            </w:pPr>
            <w:r>
              <w:rPr>
                <w:rFonts w:ascii="Calibri" w:eastAsia="Calibri" w:hAnsi="Calibri" w:cs="Calibri"/>
                <w:sz w:val="22"/>
                <w:szCs w:val="22"/>
              </w:rPr>
              <w:t>8</w:t>
            </w:r>
          </w:p>
        </w:tc>
      </w:tr>
      <w:tr w:rsidR="00507931" w14:paraId="4F133130" w14:textId="77777777">
        <w:trPr>
          <w:trHeight w:val="260"/>
        </w:trPr>
        <w:tc>
          <w:tcPr>
            <w:tcW w:w="74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1744F7B3" w14:textId="77777777" w:rsidR="00507931" w:rsidRDefault="009A2E9A">
            <w:pPr>
              <w:rPr>
                <w:sz w:val="22"/>
                <w:szCs w:val="22"/>
              </w:rPr>
            </w:pPr>
            <w:r>
              <w:rPr>
                <w:rFonts w:ascii="Calibri" w:eastAsia="Calibri" w:hAnsi="Calibri" w:cs="Calibri"/>
                <w:sz w:val="22"/>
                <w:szCs w:val="22"/>
              </w:rPr>
              <w:t>4</w:t>
            </w:r>
          </w:p>
        </w:tc>
        <w:tc>
          <w:tcPr>
            <w:tcW w:w="68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4BDF3E0E" w14:textId="77777777" w:rsidR="00507931" w:rsidRDefault="009A2E9A">
            <w:pPr>
              <w:rPr>
                <w:sz w:val="22"/>
                <w:szCs w:val="22"/>
              </w:rPr>
            </w:pPr>
            <w:r>
              <w:rPr>
                <w:sz w:val="22"/>
                <w:szCs w:val="22"/>
              </w:rPr>
              <w:t>Introduction to Graph Processing</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4E5C897C" w14:textId="77777777" w:rsidR="00507931" w:rsidRDefault="009A2E9A">
            <w:pPr>
              <w:jc w:val="center"/>
              <w:rPr>
                <w:sz w:val="22"/>
                <w:szCs w:val="22"/>
              </w:rPr>
            </w:pPr>
            <w:r>
              <w:rPr>
                <w:rFonts w:ascii="Calibri" w:eastAsia="Calibri" w:hAnsi="Calibri" w:cs="Calibri"/>
                <w:sz w:val="22"/>
                <w:szCs w:val="22"/>
              </w:rPr>
              <w:t>6</w:t>
            </w:r>
          </w:p>
        </w:tc>
      </w:tr>
      <w:tr w:rsidR="00507931" w14:paraId="3023B6BD" w14:textId="77777777">
        <w:trPr>
          <w:trHeight w:val="260"/>
        </w:trPr>
        <w:tc>
          <w:tcPr>
            <w:tcW w:w="74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2E52E1CB" w14:textId="77777777" w:rsidR="00507931" w:rsidRDefault="009A2E9A">
            <w:pPr>
              <w:rPr>
                <w:sz w:val="22"/>
                <w:szCs w:val="22"/>
              </w:rPr>
            </w:pPr>
            <w:r>
              <w:rPr>
                <w:rFonts w:ascii="Calibri" w:eastAsia="Calibri" w:hAnsi="Calibri" w:cs="Calibri"/>
                <w:sz w:val="22"/>
                <w:szCs w:val="22"/>
              </w:rPr>
              <w:t>4</w:t>
            </w:r>
          </w:p>
        </w:tc>
        <w:tc>
          <w:tcPr>
            <w:tcW w:w="68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3CACFD0A" w14:textId="77777777" w:rsidR="00507931" w:rsidRDefault="009A2E9A">
            <w:pPr>
              <w:rPr>
                <w:sz w:val="22"/>
                <w:szCs w:val="22"/>
              </w:rPr>
            </w:pPr>
            <w:r>
              <w:rPr>
                <w:sz w:val="22"/>
                <w:szCs w:val="22"/>
              </w:rPr>
              <w:t>Team Evaluation of Visualized Data</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53744FBC" w14:textId="77777777" w:rsidR="00507931" w:rsidRDefault="009A2E9A">
            <w:pPr>
              <w:jc w:val="center"/>
              <w:rPr>
                <w:sz w:val="22"/>
                <w:szCs w:val="22"/>
              </w:rPr>
            </w:pPr>
            <w:r>
              <w:rPr>
                <w:rFonts w:ascii="Calibri" w:eastAsia="Calibri" w:hAnsi="Calibri" w:cs="Calibri"/>
                <w:sz w:val="22"/>
                <w:szCs w:val="22"/>
              </w:rPr>
              <w:t>6</w:t>
            </w:r>
          </w:p>
        </w:tc>
      </w:tr>
      <w:tr w:rsidR="00507931" w14:paraId="76C09D76" w14:textId="77777777">
        <w:trPr>
          <w:trHeight w:val="260"/>
        </w:trPr>
        <w:tc>
          <w:tcPr>
            <w:tcW w:w="74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65264986" w14:textId="77777777" w:rsidR="00507931" w:rsidRDefault="009A2E9A">
            <w:pPr>
              <w:rPr>
                <w:sz w:val="22"/>
                <w:szCs w:val="22"/>
              </w:rPr>
            </w:pPr>
            <w:r>
              <w:rPr>
                <w:rFonts w:ascii="Calibri" w:eastAsia="Calibri" w:hAnsi="Calibri" w:cs="Calibri"/>
                <w:sz w:val="22"/>
                <w:szCs w:val="22"/>
              </w:rPr>
              <w:t>5</w:t>
            </w:r>
          </w:p>
        </w:tc>
        <w:tc>
          <w:tcPr>
            <w:tcW w:w="68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08DF83DB" w14:textId="77777777" w:rsidR="00507931" w:rsidRDefault="009A2E9A">
            <w:pPr>
              <w:rPr>
                <w:sz w:val="22"/>
                <w:szCs w:val="22"/>
              </w:rPr>
            </w:pPr>
            <w:r>
              <w:rPr>
                <w:sz w:val="22"/>
                <w:szCs w:val="22"/>
              </w:rPr>
              <w:t>Shopping Basket Analysis</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01D22ACD" w14:textId="77777777" w:rsidR="00507931" w:rsidRDefault="009A2E9A">
            <w:pPr>
              <w:jc w:val="center"/>
              <w:rPr>
                <w:sz w:val="22"/>
                <w:szCs w:val="22"/>
              </w:rPr>
            </w:pPr>
            <w:r>
              <w:rPr>
                <w:rFonts w:ascii="Calibri" w:eastAsia="Calibri" w:hAnsi="Calibri" w:cs="Calibri"/>
                <w:sz w:val="22"/>
                <w:szCs w:val="22"/>
              </w:rPr>
              <w:t>8</w:t>
            </w:r>
          </w:p>
        </w:tc>
      </w:tr>
      <w:tr w:rsidR="00507931" w14:paraId="13FD683C" w14:textId="77777777">
        <w:trPr>
          <w:trHeight w:val="260"/>
        </w:trPr>
        <w:tc>
          <w:tcPr>
            <w:tcW w:w="74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5665B167" w14:textId="77777777" w:rsidR="00507931" w:rsidRDefault="009A2E9A">
            <w:pPr>
              <w:rPr>
                <w:sz w:val="22"/>
                <w:szCs w:val="22"/>
              </w:rPr>
            </w:pPr>
            <w:r>
              <w:rPr>
                <w:rFonts w:ascii="Calibri" w:eastAsia="Calibri" w:hAnsi="Calibri" w:cs="Calibri"/>
                <w:sz w:val="22"/>
                <w:szCs w:val="22"/>
              </w:rPr>
              <w:t>6</w:t>
            </w:r>
          </w:p>
        </w:tc>
        <w:tc>
          <w:tcPr>
            <w:tcW w:w="68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16539ECD" w14:textId="77777777" w:rsidR="00507931" w:rsidRDefault="009A2E9A">
            <w:pPr>
              <w:rPr>
                <w:sz w:val="22"/>
                <w:szCs w:val="22"/>
              </w:rPr>
            </w:pPr>
            <w:r>
              <w:rPr>
                <w:sz w:val="22"/>
                <w:szCs w:val="22"/>
              </w:rPr>
              <w:t>Forecast Analysis</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20FFE4E8" w14:textId="77777777" w:rsidR="00507931" w:rsidRDefault="009A2E9A">
            <w:pPr>
              <w:jc w:val="center"/>
              <w:rPr>
                <w:sz w:val="22"/>
                <w:szCs w:val="22"/>
              </w:rPr>
            </w:pPr>
            <w:r>
              <w:rPr>
                <w:rFonts w:ascii="Calibri" w:eastAsia="Calibri" w:hAnsi="Calibri" w:cs="Calibri"/>
                <w:sz w:val="22"/>
                <w:szCs w:val="22"/>
              </w:rPr>
              <w:t>8</w:t>
            </w:r>
          </w:p>
        </w:tc>
      </w:tr>
      <w:tr w:rsidR="00507931" w14:paraId="3B9CC62C" w14:textId="77777777">
        <w:trPr>
          <w:trHeight w:val="260"/>
        </w:trPr>
        <w:tc>
          <w:tcPr>
            <w:tcW w:w="74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7B947200" w14:textId="77777777" w:rsidR="00507931" w:rsidRDefault="009A2E9A">
            <w:pPr>
              <w:rPr>
                <w:sz w:val="22"/>
                <w:szCs w:val="22"/>
              </w:rPr>
            </w:pPr>
            <w:r>
              <w:rPr>
                <w:rFonts w:ascii="Calibri" w:eastAsia="Calibri" w:hAnsi="Calibri" w:cs="Calibri"/>
                <w:sz w:val="22"/>
                <w:szCs w:val="22"/>
              </w:rPr>
              <w:t>7</w:t>
            </w:r>
          </w:p>
        </w:tc>
        <w:tc>
          <w:tcPr>
            <w:tcW w:w="68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08E670A6" w14:textId="77777777" w:rsidR="00507931" w:rsidRDefault="009A2E9A">
            <w:pPr>
              <w:rPr>
                <w:sz w:val="22"/>
                <w:szCs w:val="22"/>
              </w:rPr>
            </w:pPr>
            <w:r>
              <w:rPr>
                <w:sz w:val="22"/>
                <w:szCs w:val="22"/>
              </w:rPr>
              <w:t>Final Report: Discovering Competitive Advantages</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0B7C5385" w14:textId="77777777" w:rsidR="00507931" w:rsidRDefault="009A2E9A">
            <w:pPr>
              <w:jc w:val="center"/>
              <w:rPr>
                <w:sz w:val="22"/>
                <w:szCs w:val="22"/>
              </w:rPr>
            </w:pPr>
            <w:r>
              <w:rPr>
                <w:rFonts w:ascii="Calibri" w:eastAsia="Calibri" w:hAnsi="Calibri" w:cs="Calibri"/>
                <w:sz w:val="22"/>
                <w:szCs w:val="22"/>
              </w:rPr>
              <w:t>20</w:t>
            </w:r>
          </w:p>
        </w:tc>
      </w:tr>
      <w:tr w:rsidR="00507931" w14:paraId="7F007783" w14:textId="77777777">
        <w:trPr>
          <w:trHeight w:val="260"/>
        </w:trPr>
        <w:tc>
          <w:tcPr>
            <w:tcW w:w="74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086B49F3" w14:textId="77777777" w:rsidR="00507931" w:rsidRDefault="009A2E9A">
            <w:pPr>
              <w:rPr>
                <w:sz w:val="22"/>
                <w:szCs w:val="22"/>
              </w:rPr>
            </w:pPr>
            <w:r>
              <w:rPr>
                <w:rFonts w:ascii="Calibri" w:eastAsia="Calibri" w:hAnsi="Calibri" w:cs="Calibri"/>
                <w:sz w:val="22"/>
                <w:szCs w:val="22"/>
              </w:rPr>
              <w:t>7</w:t>
            </w:r>
          </w:p>
        </w:tc>
        <w:tc>
          <w:tcPr>
            <w:tcW w:w="68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17009917" w14:textId="77777777" w:rsidR="00507931" w:rsidRDefault="009A2E9A">
            <w:pPr>
              <w:rPr>
                <w:sz w:val="22"/>
                <w:szCs w:val="22"/>
              </w:rPr>
            </w:pPr>
            <w:r>
              <w:rPr>
                <w:sz w:val="22"/>
                <w:szCs w:val="22"/>
              </w:rPr>
              <w:t>Course Reflection</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0CFDC879" w14:textId="77777777" w:rsidR="00507931" w:rsidRDefault="009A2E9A">
            <w:pPr>
              <w:jc w:val="center"/>
              <w:rPr>
                <w:sz w:val="22"/>
                <w:szCs w:val="22"/>
              </w:rPr>
            </w:pPr>
            <w:r>
              <w:rPr>
                <w:rFonts w:ascii="Calibri" w:eastAsia="Calibri" w:hAnsi="Calibri" w:cs="Calibri"/>
                <w:sz w:val="22"/>
                <w:szCs w:val="22"/>
              </w:rPr>
              <w:t>5</w:t>
            </w:r>
          </w:p>
        </w:tc>
      </w:tr>
      <w:tr w:rsidR="00507931" w14:paraId="3236530F" w14:textId="77777777">
        <w:trPr>
          <w:trHeight w:val="260"/>
        </w:trPr>
        <w:tc>
          <w:tcPr>
            <w:tcW w:w="74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FF5C736" w14:textId="77777777" w:rsidR="00507931" w:rsidRDefault="00507931">
            <w:pPr>
              <w:rPr>
                <w:sz w:val="22"/>
                <w:szCs w:val="22"/>
              </w:rPr>
            </w:pPr>
          </w:p>
        </w:tc>
        <w:tc>
          <w:tcPr>
            <w:tcW w:w="68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2E84EBE" w14:textId="77777777" w:rsidR="00507931" w:rsidRDefault="009A2E9A">
            <w:pPr>
              <w:rPr>
                <w:sz w:val="22"/>
                <w:szCs w:val="22"/>
              </w:rPr>
            </w:pPr>
            <w:r>
              <w:rPr>
                <w:sz w:val="22"/>
                <w:szCs w:val="22"/>
              </w:rPr>
              <w:t>Total Points</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521869F" w14:textId="77777777" w:rsidR="00507931" w:rsidRDefault="009A2E9A">
            <w:pPr>
              <w:jc w:val="center"/>
              <w:rPr>
                <w:sz w:val="22"/>
                <w:szCs w:val="22"/>
              </w:rPr>
            </w:pPr>
            <w:r>
              <w:rPr>
                <w:sz w:val="22"/>
                <w:szCs w:val="22"/>
              </w:rPr>
              <w:t>100</w:t>
            </w:r>
          </w:p>
        </w:tc>
      </w:tr>
    </w:tbl>
    <w:p w14:paraId="691D435C" w14:textId="77777777" w:rsidR="00507931" w:rsidRDefault="00507931">
      <w:pPr>
        <w:rPr>
          <w:b/>
          <w:color w:val="7030A0"/>
          <w:sz w:val="24"/>
          <w:szCs w:val="24"/>
        </w:rPr>
      </w:pPr>
    </w:p>
    <w:p w14:paraId="22AE0341" w14:textId="77777777" w:rsidR="00507931" w:rsidRDefault="00507931">
      <w:pPr>
        <w:rPr>
          <w:b/>
          <w:color w:val="7030A0"/>
          <w:sz w:val="24"/>
          <w:szCs w:val="24"/>
        </w:rPr>
      </w:pPr>
    </w:p>
    <w:p w14:paraId="08BF9E7F" w14:textId="77777777" w:rsidR="00507931" w:rsidRDefault="00507931">
      <w:pPr>
        <w:widowControl/>
        <w:rPr>
          <w:b/>
          <w:color w:val="7030A0"/>
          <w:sz w:val="24"/>
          <w:szCs w:val="24"/>
        </w:rPr>
      </w:pPr>
    </w:p>
    <w:p w14:paraId="3A30255C" w14:textId="77777777" w:rsidR="00507931" w:rsidRDefault="00507931"/>
    <w:sectPr w:rsidR="00507931">
      <w:footerReference w:type="default" r:id="rId12"/>
      <w:pgSz w:w="12240" w:h="15840"/>
      <w:pgMar w:top="994" w:right="1008" w:bottom="446"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29AFD" w14:textId="77777777" w:rsidR="0054089B" w:rsidRDefault="0054089B">
      <w:r>
        <w:separator/>
      </w:r>
    </w:p>
  </w:endnote>
  <w:endnote w:type="continuationSeparator" w:id="0">
    <w:p w14:paraId="37852EED" w14:textId="77777777" w:rsidR="0054089B" w:rsidRDefault="0054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F023F" w14:textId="77777777" w:rsidR="00507931" w:rsidRDefault="009A2E9A">
    <w:pPr>
      <w:tabs>
        <w:tab w:val="center" w:pos="4320"/>
        <w:tab w:val="right" w:pos="8640"/>
      </w:tabs>
      <w:rPr>
        <w:sz w:val="22"/>
        <w:szCs w:val="22"/>
      </w:rPr>
    </w:pPr>
    <w:r>
      <w:rPr>
        <w:sz w:val="22"/>
        <w:szCs w:val="22"/>
      </w:rPr>
      <w:fldChar w:fldCharType="begin"/>
    </w:r>
    <w:r>
      <w:rPr>
        <w:sz w:val="22"/>
        <w:szCs w:val="22"/>
      </w:rPr>
      <w:instrText>PAGE</w:instrText>
    </w:r>
    <w:r>
      <w:rPr>
        <w:sz w:val="22"/>
        <w:szCs w:val="22"/>
      </w:rPr>
      <w:fldChar w:fldCharType="separate"/>
    </w:r>
    <w:r w:rsidR="00C82E27">
      <w:rPr>
        <w:noProof/>
        <w:sz w:val="22"/>
        <w:szCs w:val="22"/>
      </w:rPr>
      <w:t>1</w:t>
    </w:r>
    <w:r>
      <w:rPr>
        <w:sz w:val="22"/>
        <w:szCs w:val="22"/>
      </w:rPr>
      <w:fldChar w:fldCharType="end"/>
    </w:r>
  </w:p>
  <w:p w14:paraId="12F616B6" w14:textId="77777777" w:rsidR="00507931" w:rsidRDefault="00507931">
    <w:pPr>
      <w:tabs>
        <w:tab w:val="center" w:pos="4320"/>
        <w:tab w:val="right" w:pos="8640"/>
      </w:tabs>
      <w:spacing w:after="1166"/>
      <w:ind w:right="36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008F2" w14:textId="77777777" w:rsidR="0054089B" w:rsidRDefault="0054089B">
      <w:r>
        <w:separator/>
      </w:r>
    </w:p>
  </w:footnote>
  <w:footnote w:type="continuationSeparator" w:id="0">
    <w:p w14:paraId="2885E7EF" w14:textId="77777777" w:rsidR="0054089B" w:rsidRDefault="00540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B51"/>
    <w:multiLevelType w:val="multilevel"/>
    <w:tmpl w:val="C7D84B5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098B50DE"/>
    <w:multiLevelType w:val="multilevel"/>
    <w:tmpl w:val="396E79F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E71458D"/>
    <w:multiLevelType w:val="multilevel"/>
    <w:tmpl w:val="E6500776"/>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15:restartNumberingAfterBreak="0">
    <w:nsid w:val="1A0C7C6B"/>
    <w:multiLevelType w:val="multilevel"/>
    <w:tmpl w:val="B4268CD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21E46E7F"/>
    <w:multiLevelType w:val="multilevel"/>
    <w:tmpl w:val="B5BED54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49255DE1"/>
    <w:multiLevelType w:val="multilevel"/>
    <w:tmpl w:val="81341EAA"/>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6" w15:restartNumberingAfterBreak="0">
    <w:nsid w:val="4E304831"/>
    <w:multiLevelType w:val="multilevel"/>
    <w:tmpl w:val="9DF696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52402F8A"/>
    <w:multiLevelType w:val="multilevel"/>
    <w:tmpl w:val="E30018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538B32D1"/>
    <w:multiLevelType w:val="multilevel"/>
    <w:tmpl w:val="51185BF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594C6EF8"/>
    <w:multiLevelType w:val="multilevel"/>
    <w:tmpl w:val="E780A68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5E3A205B"/>
    <w:multiLevelType w:val="multilevel"/>
    <w:tmpl w:val="083A1D9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7"/>
  </w:num>
  <w:num w:numId="2">
    <w:abstractNumId w:val="1"/>
  </w:num>
  <w:num w:numId="3">
    <w:abstractNumId w:val="8"/>
  </w:num>
  <w:num w:numId="4">
    <w:abstractNumId w:val="0"/>
  </w:num>
  <w:num w:numId="5">
    <w:abstractNumId w:val="9"/>
  </w:num>
  <w:num w:numId="6">
    <w:abstractNumId w:val="2"/>
  </w:num>
  <w:num w:numId="7">
    <w:abstractNumId w:val="6"/>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31"/>
    <w:rsid w:val="00507931"/>
    <w:rsid w:val="0054089B"/>
    <w:rsid w:val="00605D20"/>
    <w:rsid w:val="00776E5E"/>
    <w:rsid w:val="009A2E9A"/>
    <w:rsid w:val="00C8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E9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tabs>
        <w:tab w:val="left" w:pos="-1440"/>
        <w:tab w:val="left" w:pos="1800"/>
      </w:tabs>
      <w:jc w:val="center"/>
      <w:outlineLvl w:val="0"/>
    </w:pPr>
    <w:rPr>
      <w:b/>
      <w:i/>
      <w:color w:val="7030A0"/>
      <w:sz w:val="28"/>
      <w:szCs w:val="28"/>
    </w:rPr>
  </w:style>
  <w:style w:type="paragraph" w:styleId="Heading2">
    <w:name w:val="heading 2"/>
    <w:basedOn w:val="Normal"/>
    <w:next w:val="Normal"/>
    <w:pPr>
      <w:tabs>
        <w:tab w:val="left" w:pos="-1440"/>
        <w:tab w:val="left" w:pos="1800"/>
      </w:tabs>
      <w:outlineLvl w:val="1"/>
    </w:pPr>
    <w:rPr>
      <w:b/>
      <w:sz w:val="22"/>
      <w:szCs w:val="22"/>
    </w:rPr>
  </w:style>
  <w:style w:type="paragraph" w:styleId="Heading3">
    <w:name w:val="heading 3"/>
    <w:basedOn w:val="Normal"/>
    <w:next w:val="Normal"/>
    <w:pPr>
      <w:keepNext/>
      <w:outlineLvl w:val="2"/>
    </w:pPr>
    <w:rPr>
      <w:color w:val="FF0000"/>
      <w:sz w:val="40"/>
      <w:szCs w:val="40"/>
    </w:rPr>
  </w:style>
  <w:style w:type="paragraph" w:styleId="Heading4">
    <w:name w:val="heading 4"/>
    <w:basedOn w:val="Normal"/>
    <w:next w:val="Normal"/>
    <w:pPr>
      <w:keepNext/>
      <w:outlineLvl w:val="3"/>
    </w:pPr>
    <w:rPr>
      <w:b/>
      <w:color w:val="FFFFFF"/>
      <w:sz w:val="40"/>
      <w:szCs w:val="40"/>
    </w:rPr>
  </w:style>
  <w:style w:type="paragraph" w:styleId="Heading5">
    <w:name w:val="heading 5"/>
    <w:basedOn w:val="Normal"/>
    <w:next w:val="Normal"/>
    <w:pPr>
      <w:keepNext/>
      <w:tabs>
        <w:tab w:val="left" w:pos="360"/>
        <w:tab w:val="left" w:pos="720"/>
        <w:tab w:val="left" w:pos="1080"/>
        <w:tab w:val="left" w:pos="1440"/>
        <w:tab w:val="left" w:pos="1800"/>
      </w:tabs>
      <w:spacing w:line="236" w:lineRule="auto"/>
      <w:outlineLvl w:val="4"/>
    </w:pPr>
    <w:rPr>
      <w:i/>
      <w:sz w:val="22"/>
      <w:szCs w:val="22"/>
    </w:rPr>
  </w:style>
  <w:style w:type="paragraph" w:styleId="Heading6">
    <w:name w:val="heading 6"/>
    <w:basedOn w:val="Normal"/>
    <w:next w:val="Normal"/>
    <w:pPr>
      <w:keepNext/>
      <w:spacing w:line="120" w:lineRule="auto"/>
      <w:outlineLvl w:val="5"/>
    </w:pPr>
    <w:rPr>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rPr>
      <w:rFonts w:ascii="Cambria" w:eastAsia="Cambria" w:hAnsi="Cambria" w:cs="Cambria"/>
      <w:i/>
      <w:color w:val="4F81BD"/>
      <w:sz w:val="24"/>
      <w:szCs w:val="24"/>
    </w:rPr>
  </w:style>
  <w:style w:type="table" w:customStyle="1" w:styleId="a">
    <w:basedOn w:val="TableNormal"/>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1">
    <w:basedOn w:val="TableNormal"/>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cu.edu/academics/provost/documents/academic-integrity-policy.pdf%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sebt.com/blog/predictive-descriptive-prescriptive-analytics" TargetMode="External"/><Relationship Id="rId5" Type="http://schemas.openxmlformats.org/officeDocument/2006/relationships/footnotes" Target="footnotes.xml"/><Relationship Id="rId10" Type="http://schemas.openxmlformats.org/officeDocument/2006/relationships/hyperlink" Target="http://theconversation.com/the-seven-deadly-sins-of-statistical-misinterpretation-and-how-to-avoid-them-74306?utm_source=Drip&amp;utm_medium=email&amp;utm_campaign=April&amp;__s=xn3cvsbizyauufnwtk5t" TargetMode="External"/><Relationship Id="rId4" Type="http://schemas.openxmlformats.org/officeDocument/2006/relationships/webSettings" Target="webSettings.xml"/><Relationship Id="rId9" Type="http://schemas.openxmlformats.org/officeDocument/2006/relationships/hyperlink" Target="http://www.datascienceassn.org/code-of-conduc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Orneita Burton</dc:creator>
  <cp:lastModifiedBy>Orneita Burton</cp:lastModifiedBy>
  <cp:revision>3</cp:revision>
  <dcterms:created xsi:type="dcterms:W3CDTF">2018-05-04T17:43:00Z</dcterms:created>
  <dcterms:modified xsi:type="dcterms:W3CDTF">2018-05-04T17:44:00Z</dcterms:modified>
</cp:coreProperties>
</file>