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90" w:rsidRDefault="00BB0C90"/>
    <w:p w:rsidR="00BB0C90" w:rsidRPr="00BB0C90" w:rsidRDefault="00BB0C90" w:rsidP="00BB0C90"/>
    <w:p w:rsidR="00BB0C90" w:rsidRPr="00BB0C90" w:rsidRDefault="00596C03" w:rsidP="00BB0C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4.3pt;margin-top:62.25pt;width:554.3pt;height:142.5pt;z-index:251709440;mso-position-horizontal-relative:margin;mso-position-vertical-relative:margin;mso-width-relative:margin;mso-height-relative:margin" filled="f" fillcolor="#f79646 [3209]" stroked="f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033">
              <w:txbxContent>
                <w:p w:rsidR="00230033" w:rsidRPr="00015ACB" w:rsidRDefault="00230033" w:rsidP="005C13EC">
                  <w:pPr>
                    <w:jc w:val="center"/>
                    <w:rPr>
                      <w:rFonts w:ascii="Cambria" w:eastAsia="Calibri" w:hAnsi="Cambria" w:cs="Times New Roman"/>
                      <w:color w:val="1D3F7A"/>
                      <w:sz w:val="52"/>
                      <w:szCs w:val="52"/>
                    </w:rPr>
                  </w:pPr>
                  <w:r>
                    <w:rPr>
                      <w:rFonts w:ascii="Cambria" w:eastAsia="Calibri" w:hAnsi="Cambria" w:cs="Times New Roman"/>
                      <w:color w:val="1D3F7A"/>
                      <w:sz w:val="52"/>
                      <w:szCs w:val="52"/>
                    </w:rPr>
                    <w:t>Doctor of Education (Ed.D.)</w:t>
                  </w:r>
                </w:p>
                <w:p w:rsidR="00230033" w:rsidRPr="00015ACB" w:rsidRDefault="00230033" w:rsidP="00B5194E">
                  <w:pPr>
                    <w:pBdr>
                      <w:bottom w:val="single" w:sz="4" w:space="1" w:color="C3A204"/>
                    </w:pBdr>
                    <w:jc w:val="center"/>
                    <w:rPr>
                      <w:rFonts w:ascii="Cambria" w:eastAsia="Calibri" w:hAnsi="Cambria" w:cs="Times New Roman"/>
                      <w:color w:val="1D3F7A"/>
                      <w:sz w:val="52"/>
                      <w:szCs w:val="52"/>
                    </w:rPr>
                  </w:pPr>
                  <w:r>
                    <w:rPr>
                      <w:rFonts w:ascii="Cambria" w:eastAsia="Calibri" w:hAnsi="Cambria" w:cs="Times New Roman"/>
                      <w:color w:val="1D3F7A"/>
                      <w:sz w:val="52"/>
                      <w:szCs w:val="52"/>
                    </w:rPr>
                    <w:t>Viability Assessment- Executive Summary</w:t>
                  </w:r>
                </w:p>
                <w:p w:rsidR="00230033" w:rsidRPr="008F1C76" w:rsidRDefault="00230033" w:rsidP="00015ACB">
                  <w:pPr>
                    <w:jc w:val="center"/>
                  </w:pPr>
                </w:p>
                <w:p w:rsidR="00230033" w:rsidRPr="008F1C76" w:rsidRDefault="00230033" w:rsidP="00015ACB">
                  <w:pPr>
                    <w:jc w:val="center"/>
                  </w:pPr>
                </w:p>
                <w:p w:rsidR="00230033" w:rsidRPr="00287737" w:rsidRDefault="00230033" w:rsidP="00015ACB">
                  <w:pPr>
                    <w:pStyle w:val="ABCoverSubtitle"/>
                    <w:rPr>
                      <w:color w:val="1D3F7A"/>
                    </w:rPr>
                  </w:pPr>
                </w:p>
                <w:p w:rsidR="00230033" w:rsidRPr="00287737" w:rsidRDefault="00230033" w:rsidP="00015ACB">
                  <w:pPr>
                    <w:pStyle w:val="ABCoverSubtitle"/>
                  </w:pPr>
                </w:p>
              </w:txbxContent>
            </v:textbox>
            <w10:wrap type="square" anchorx="margin" anchory="margin"/>
          </v:shape>
        </w:pict>
      </w:r>
    </w:p>
    <w:p w:rsidR="00BB0C90" w:rsidRPr="00BB0C90" w:rsidRDefault="00BB0C90" w:rsidP="00BB0C90"/>
    <w:p w:rsidR="00486CAB" w:rsidRDefault="00596C03" w:rsidP="00962E00">
      <w:pPr>
        <w:spacing w:after="0"/>
        <w:rPr>
          <w:b/>
          <w:color w:val="1F497D" w:themeColor="text2"/>
          <w:sz w:val="32"/>
          <w:szCs w:val="32"/>
        </w:rPr>
      </w:pPr>
      <w:r>
        <w:rPr>
          <w:b/>
          <w:noProof/>
          <w:color w:val="1F497D" w:themeColor="text2"/>
          <w:sz w:val="32"/>
          <w:szCs w:val="32"/>
        </w:rPr>
        <w:pict>
          <v:shape id="_x0000_s1034" type="#_x0000_t202" style="position:absolute;margin-left:-43.4pt;margin-top:324.75pt;width:577.4pt;height:122.9pt;z-index:251710464;mso-position-horizontal-relative:margin;mso-position-vertical-relative:margin;mso-width-relative:margin;mso-height-relative:margin" filled="f" fillcolor="#9bbb59 [3206]" stroked="f" strokecolor="#f2f2f2 [3041]" strokeweight="3pt">
            <v:fill opacity="0"/>
            <v:shadow on="t" type="perspective" color="#4e6128 [1606]" opacity=".5" offset="1pt" offset2="-1pt"/>
            <v:textbox style="mso-next-textbox:#_x0000_s1034">
              <w:txbxContent>
                <w:p w:rsidR="00230033" w:rsidRPr="005D2A1D" w:rsidRDefault="00230033" w:rsidP="00015ACB">
                  <w:pPr>
                    <w:pStyle w:val="Heading1"/>
                    <w:rPr>
                      <w:color w:val="C3A204"/>
                      <w:sz w:val="36"/>
                      <w:szCs w:val="36"/>
                    </w:rPr>
                  </w:pPr>
                  <w:r w:rsidRPr="005D2A1D">
                    <w:rPr>
                      <w:color w:val="C3A204"/>
                      <w:sz w:val="36"/>
                      <w:szCs w:val="36"/>
                    </w:rPr>
                    <w:t>Prepared for</w:t>
                  </w:r>
                </w:p>
                <w:p w:rsidR="00230033" w:rsidRPr="005D2A1D" w:rsidRDefault="00230033" w:rsidP="00015ACB">
                  <w:pPr>
                    <w:pStyle w:val="Heading1"/>
                    <w:rPr>
                      <w:sz w:val="52"/>
                      <w:szCs w:val="52"/>
                    </w:rPr>
                  </w:pPr>
                  <w:r>
                    <w:rPr>
                      <w:sz w:val="56"/>
                      <w:szCs w:val="56"/>
                    </w:rPr>
                    <w:t>Abilene Christian University</w:t>
                  </w:r>
                </w:p>
                <w:p w:rsidR="00230033" w:rsidRPr="005D2A1D" w:rsidRDefault="00230033" w:rsidP="00015ACB">
                  <w:pPr>
                    <w:jc w:val="center"/>
                    <w:rPr>
                      <w:rFonts w:asciiTheme="majorHAnsi" w:hAnsiTheme="majorHAnsi"/>
                      <w:color w:val="C3A204"/>
                      <w:sz w:val="36"/>
                      <w:szCs w:val="36"/>
                    </w:rPr>
                  </w:pPr>
                  <w:r>
                    <w:rPr>
                      <w:rFonts w:asciiTheme="majorHAnsi" w:hAnsiTheme="majorHAnsi"/>
                      <w:color w:val="C3A204"/>
                      <w:sz w:val="36"/>
                      <w:szCs w:val="36"/>
                    </w:rPr>
                    <w:t>May13, 2011</w:t>
                  </w:r>
                </w:p>
              </w:txbxContent>
            </v:textbox>
            <w10:wrap type="square" anchorx="margin" anchory="margin"/>
          </v:shape>
        </w:pict>
      </w: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162E" w:rsidP="00962E00">
      <w:pPr>
        <w:spacing w:after="0"/>
        <w:rPr>
          <w:b/>
          <w:color w:val="1F497D" w:themeColor="text2"/>
          <w:sz w:val="32"/>
          <w:szCs w:val="32"/>
        </w:rPr>
      </w:pPr>
      <w:r w:rsidRPr="0048162E">
        <w:rPr>
          <w:b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1688523</wp:posOffset>
            </wp:positionH>
            <wp:positionV relativeFrom="paragraph">
              <wp:posOffset>76777</wp:posOffset>
            </wp:positionV>
            <wp:extent cx="3019425" cy="471055"/>
            <wp:effectExtent l="19050" t="0" r="9525" b="0"/>
            <wp:wrapThrough wrapText="bothSides">
              <wp:wrapPolygon edited="0">
                <wp:start x="-136" y="0"/>
                <wp:lineTo x="-136" y="20736"/>
                <wp:lineTo x="21668" y="20736"/>
                <wp:lineTo x="21668" y="0"/>
                <wp:lineTo x="-136" y="0"/>
              </wp:wrapPolygon>
            </wp:wrapThrough>
            <wp:docPr id="272" name="Picture 1" descr="Embanet-Compass Knowledge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anet-Compass Knowledge Grou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962E00">
      <w:pPr>
        <w:spacing w:after="0"/>
        <w:rPr>
          <w:b/>
          <w:color w:val="1F497D" w:themeColor="text2"/>
          <w:sz w:val="32"/>
          <w:szCs w:val="32"/>
        </w:rPr>
      </w:pPr>
    </w:p>
    <w:p w:rsidR="00486CAB" w:rsidRDefault="00486CAB" w:rsidP="0048162E">
      <w:pPr>
        <w:pBdr>
          <w:bottom w:val="single" w:sz="4" w:space="1" w:color="C3A204"/>
        </w:pBdr>
        <w:spacing w:after="0"/>
        <w:rPr>
          <w:b/>
          <w:color w:val="1F497D" w:themeColor="text2"/>
          <w:sz w:val="32"/>
          <w:szCs w:val="32"/>
        </w:rPr>
      </w:pPr>
    </w:p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B910FC" w:rsidRPr="003E6814" w:rsidTr="001E24E8">
        <w:tc>
          <w:tcPr>
            <w:tcW w:w="10260" w:type="dxa"/>
            <w:shd w:val="clear" w:color="auto" w:fill="DDD9C3" w:themeFill="background2" w:themeFillShade="E6"/>
          </w:tcPr>
          <w:p w:rsidR="00B910FC" w:rsidRPr="003E6814" w:rsidRDefault="00B910FC" w:rsidP="001E2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PURPOSE</w:t>
            </w:r>
          </w:p>
        </w:tc>
      </w:tr>
      <w:tr w:rsidR="00B910FC" w:rsidTr="004E1376">
        <w:trPr>
          <w:trHeight w:val="1394"/>
        </w:trPr>
        <w:tc>
          <w:tcPr>
            <w:tcW w:w="10260" w:type="dxa"/>
          </w:tcPr>
          <w:p w:rsidR="00B910FC" w:rsidRDefault="00FD308F" w:rsidP="001E24E8">
            <w:pPr>
              <w:pStyle w:val="NoSpacing"/>
            </w:pPr>
            <w:r>
              <w:t>Ab</w:t>
            </w:r>
            <w:r w:rsidR="00B910FC">
              <w:t>i</w:t>
            </w:r>
            <w:r>
              <w:t>l</w:t>
            </w:r>
            <w:r w:rsidR="00B910FC">
              <w:t>ene Christian Univers</w:t>
            </w:r>
            <w:r w:rsidR="000E022C">
              <w:t>ity</w:t>
            </w:r>
            <w:r w:rsidR="00D622E6">
              <w:t xml:space="preserve"> (ACU)</w:t>
            </w:r>
            <w:r w:rsidR="000E022C">
              <w:t xml:space="preserve"> is interested </w:t>
            </w:r>
            <w:r w:rsidR="00B910FC">
              <w:t xml:space="preserve">in determining the viability of launching an online </w:t>
            </w:r>
            <w:r w:rsidR="00AB37B4">
              <w:t>Ed.D. (Doctor of Education) program</w:t>
            </w:r>
            <w:r w:rsidR="00B910FC">
              <w:t xml:space="preserve">. </w:t>
            </w:r>
            <w:r w:rsidR="00AB37B4">
              <w:t>The university is interested in an assessment on</w:t>
            </w:r>
            <w:r w:rsidR="00062C54">
              <w:t>:</w:t>
            </w:r>
          </w:p>
          <w:p w:rsidR="00B910FC" w:rsidRDefault="008C1722" w:rsidP="0008432C">
            <w:pPr>
              <w:pStyle w:val="NoSpacing"/>
              <w:numPr>
                <w:ilvl w:val="0"/>
                <w:numId w:val="1"/>
              </w:numPr>
            </w:pPr>
            <w:r>
              <w:t>Growth opportunities in concentration areas and the competitive landscape</w:t>
            </w:r>
          </w:p>
          <w:p w:rsidR="008C1722" w:rsidRDefault="008C1722" w:rsidP="0008432C">
            <w:pPr>
              <w:pStyle w:val="NoSpacing"/>
              <w:numPr>
                <w:ilvl w:val="0"/>
                <w:numId w:val="1"/>
              </w:numPr>
            </w:pPr>
            <w:r>
              <w:t>Leveraging curriculum for current online Masters’ programs in Education</w:t>
            </w:r>
          </w:p>
          <w:p w:rsidR="008C1722" w:rsidRPr="00965FBC" w:rsidRDefault="008C1722" w:rsidP="0008432C">
            <w:pPr>
              <w:pStyle w:val="NoSpacing"/>
              <w:numPr>
                <w:ilvl w:val="0"/>
                <w:numId w:val="1"/>
              </w:numPr>
            </w:pPr>
            <w:r>
              <w:t xml:space="preserve">Trends </w:t>
            </w:r>
            <w:r w:rsidR="00F2093D">
              <w:t xml:space="preserve">specific to Texas </w:t>
            </w:r>
            <w:r>
              <w:t>with insights on digital learning</w:t>
            </w:r>
          </w:p>
        </w:tc>
      </w:tr>
    </w:tbl>
    <w:p w:rsidR="009B5056" w:rsidRDefault="009B5056" w:rsidP="0002722A">
      <w:pPr>
        <w:spacing w:line="240" w:lineRule="auto"/>
      </w:pPr>
    </w:p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F77ACC" w:rsidRPr="003E6814" w:rsidTr="001E24E8">
        <w:tc>
          <w:tcPr>
            <w:tcW w:w="10260" w:type="dxa"/>
            <w:shd w:val="clear" w:color="auto" w:fill="DDD9C3" w:themeFill="background2" w:themeFillShade="E6"/>
          </w:tcPr>
          <w:p w:rsidR="00F77ACC" w:rsidRPr="003E6814" w:rsidRDefault="00F77ACC" w:rsidP="001E2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RECOMMENDATIONS</w:t>
            </w:r>
          </w:p>
        </w:tc>
      </w:tr>
      <w:tr w:rsidR="00F77ACC" w:rsidTr="006A0F88">
        <w:trPr>
          <w:trHeight w:val="85"/>
        </w:trPr>
        <w:tc>
          <w:tcPr>
            <w:tcW w:w="10260" w:type="dxa"/>
          </w:tcPr>
          <w:p w:rsidR="00F77ACC" w:rsidRPr="008C1722" w:rsidRDefault="003B0349" w:rsidP="0008432C">
            <w:pPr>
              <w:pStyle w:val="NoSpacing"/>
              <w:numPr>
                <w:ilvl w:val="0"/>
                <w:numId w:val="4"/>
              </w:numPr>
            </w:pPr>
            <w:r w:rsidRPr="008C1722">
              <w:t xml:space="preserve">Embanet-Compass Knowledge Group </w:t>
            </w:r>
            <w:r w:rsidRPr="008C1722">
              <w:rPr>
                <w:b/>
                <w:i/>
              </w:rPr>
              <w:t xml:space="preserve">recommends launching an online </w:t>
            </w:r>
            <w:r w:rsidR="008C1722" w:rsidRPr="008C1722">
              <w:rPr>
                <w:b/>
                <w:i/>
              </w:rPr>
              <w:t>Ed.D. program</w:t>
            </w:r>
            <w:r w:rsidR="00753723" w:rsidRPr="008C1722">
              <w:t>. The recommendation for program launch is based on the following factors:</w:t>
            </w:r>
          </w:p>
          <w:p w:rsidR="00AE0204" w:rsidRPr="008C1722" w:rsidRDefault="00753723" w:rsidP="0008432C">
            <w:pPr>
              <w:pStyle w:val="NoSpacing"/>
              <w:numPr>
                <w:ilvl w:val="0"/>
                <w:numId w:val="5"/>
              </w:numPr>
            </w:pPr>
            <w:r w:rsidRPr="008C1722">
              <w:rPr>
                <w:b/>
              </w:rPr>
              <w:t>Degrees Conferred Trends</w:t>
            </w:r>
            <w:r w:rsidRPr="008C1722">
              <w:t xml:space="preserve"> </w:t>
            </w:r>
          </w:p>
          <w:p w:rsidR="00135F4F" w:rsidRDefault="00135F4F" w:rsidP="0008432C">
            <w:pPr>
              <w:pStyle w:val="NoSpacing"/>
              <w:numPr>
                <w:ilvl w:val="0"/>
                <w:numId w:val="7"/>
              </w:numPr>
            </w:pPr>
            <w:r>
              <w:t>The demand for doctoral educ</w:t>
            </w:r>
            <w:r w:rsidR="00974C42">
              <w:t xml:space="preserve">ation is strong </w:t>
            </w:r>
            <w:r w:rsidR="009779B7">
              <w:t>(~5%</w:t>
            </w:r>
            <w:r w:rsidR="00974C42">
              <w:t xml:space="preserve"> CAGR</w:t>
            </w:r>
            <w:r w:rsidR="009779B7">
              <w:t xml:space="preserve"> between 2005 and 2009)</w:t>
            </w:r>
            <w:r w:rsidR="00230033">
              <w:t>.</w:t>
            </w:r>
          </w:p>
          <w:p w:rsidR="009779B7" w:rsidRPr="00135F4F" w:rsidRDefault="009779B7" w:rsidP="0008432C">
            <w:pPr>
              <w:pStyle w:val="NoSpacing"/>
              <w:numPr>
                <w:ilvl w:val="0"/>
                <w:numId w:val="7"/>
              </w:numPr>
            </w:pPr>
            <w:r>
              <w:t xml:space="preserve">In particular, the demand is strong in the southern region (16 SREB states as defined by the Southern Regional Education Board). </w:t>
            </w:r>
            <w:r w:rsidR="004250DB">
              <w:t xml:space="preserve">In 2006, </w:t>
            </w:r>
            <w:r>
              <w:t>the SREB states accounted for a larger market share of conferred doctoral degrees</w:t>
            </w:r>
            <w:r w:rsidR="004250DB">
              <w:t>, nationally, compared to its market</w:t>
            </w:r>
            <w:r>
              <w:t xml:space="preserve"> share for conferred degrees at the master’s level</w:t>
            </w:r>
            <w:r w:rsidR="00D622E6">
              <w:t>.</w:t>
            </w:r>
          </w:p>
          <w:p w:rsidR="008C1722" w:rsidRPr="008C1722" w:rsidRDefault="00D622E6" w:rsidP="0008432C">
            <w:pPr>
              <w:pStyle w:val="NoSpacing"/>
              <w:numPr>
                <w:ilvl w:val="0"/>
                <w:numId w:val="7"/>
              </w:numPr>
            </w:pPr>
            <w:r>
              <w:t>Historically, t</w:t>
            </w:r>
            <w:r w:rsidR="00135F4F" w:rsidRPr="00135F4F">
              <w:t xml:space="preserve">he </w:t>
            </w:r>
            <w:r w:rsidR="006E290F">
              <w:t xml:space="preserve">annual demand for Ed.D. </w:t>
            </w:r>
            <w:r w:rsidR="006A3E71">
              <w:t>degree is</w:t>
            </w:r>
            <w:r>
              <w:t xml:space="preserve"> estimated to have</w:t>
            </w:r>
            <w:r w:rsidR="006E290F">
              <w:t xml:space="preserve"> remained constant</w:t>
            </w:r>
            <w:r>
              <w:t>.</w:t>
            </w:r>
            <w:r w:rsidR="008C1722" w:rsidRPr="008C1722">
              <w:rPr>
                <w:lang w:val="en-CA"/>
              </w:rPr>
              <w:t xml:space="preserve"> </w:t>
            </w:r>
          </w:p>
          <w:p w:rsidR="00AE0204" w:rsidRPr="00430BF7" w:rsidRDefault="008C1722" w:rsidP="0008432C">
            <w:pPr>
              <w:pStyle w:val="NoSpacing"/>
              <w:numPr>
                <w:ilvl w:val="0"/>
                <w:numId w:val="6"/>
              </w:numPr>
            </w:pPr>
            <w:r w:rsidRPr="00430BF7">
              <w:rPr>
                <w:b/>
              </w:rPr>
              <w:t xml:space="preserve"> </w:t>
            </w:r>
            <w:r w:rsidR="00753723" w:rsidRPr="00430BF7">
              <w:rPr>
                <w:b/>
              </w:rPr>
              <w:t>Competitive Landscape</w:t>
            </w:r>
            <w:r w:rsidR="00753723" w:rsidRPr="00430BF7">
              <w:t xml:space="preserve"> </w:t>
            </w:r>
          </w:p>
          <w:p w:rsidR="00D622E6" w:rsidRDefault="00D622E6" w:rsidP="0008432C">
            <w:pPr>
              <w:pStyle w:val="NoSpacing"/>
              <w:numPr>
                <w:ilvl w:val="0"/>
                <w:numId w:val="8"/>
              </w:numPr>
            </w:pPr>
            <w:r w:rsidRPr="008C1722">
              <w:t>The proposed progra</w:t>
            </w:r>
            <w:r>
              <w:t xml:space="preserve">m is expected to be competitively </w:t>
            </w:r>
            <w:r w:rsidRPr="008C1722">
              <w:t>price</w:t>
            </w:r>
            <w:r>
              <w:t>d in the market (proposed program estimated at $31,500 compared to average of $37,989 for the competitive set</w:t>
            </w:r>
            <w:r w:rsidR="00A946FF">
              <w:t xml:space="preserve"> of 27 schools</w:t>
            </w:r>
            <w:r>
              <w:t>)</w:t>
            </w:r>
            <w:r w:rsidR="00230033">
              <w:t>.</w:t>
            </w:r>
          </w:p>
          <w:p w:rsidR="00D622E6" w:rsidRDefault="00D622E6" w:rsidP="0008432C">
            <w:pPr>
              <w:pStyle w:val="NoSpacing"/>
              <w:numPr>
                <w:ilvl w:val="0"/>
                <w:numId w:val="8"/>
              </w:numPr>
            </w:pPr>
            <w:r>
              <w:t>Out of 27 schools in the competitive set, only 7 are</w:t>
            </w:r>
            <w:r w:rsidR="002E5377">
              <w:t xml:space="preserve"> in</w:t>
            </w:r>
            <w:r>
              <w:t xml:space="preserve"> SREB states. This is expect</w:t>
            </w:r>
            <w:r w:rsidR="002E5377">
              <w:t>ed to provide an opportunity to capitalize on</w:t>
            </w:r>
            <w:r>
              <w:t xml:space="preserve"> ACU’s</w:t>
            </w:r>
            <w:r w:rsidR="002E5377">
              <w:t xml:space="preserve"> strong</w:t>
            </w:r>
            <w:r>
              <w:t xml:space="preserve"> brand awareness in the southern region.</w:t>
            </w:r>
          </w:p>
          <w:p w:rsidR="008C1722" w:rsidRPr="008C1722" w:rsidRDefault="002E5377" w:rsidP="0008432C">
            <w:pPr>
              <w:pStyle w:val="NoSpacing"/>
              <w:numPr>
                <w:ilvl w:val="0"/>
                <w:numId w:val="8"/>
              </w:numPr>
            </w:pPr>
            <w:r>
              <w:t>Out of the 8 schools</w:t>
            </w:r>
            <w:r w:rsidR="00974C42">
              <w:t xml:space="preserve"> </w:t>
            </w:r>
            <w:r w:rsidR="00974C42" w:rsidRPr="008C1722">
              <w:t xml:space="preserve">identified in immediate competitive space </w:t>
            </w:r>
            <w:r w:rsidR="00974C42">
              <w:t>defined by similar brand awareness and price to proposed program</w:t>
            </w:r>
            <w:r>
              <w:t>, only 3 are in SREB states, out of which, 2 are regional (Texas or contiguous states) schools. Again, this is expected to provide competitive advantage in the southern region.</w:t>
            </w:r>
            <w:r w:rsidR="00D622E6">
              <w:t xml:space="preserve"> </w:t>
            </w:r>
          </w:p>
          <w:p w:rsidR="00753412" w:rsidRPr="00753412" w:rsidRDefault="00AE0204" w:rsidP="0008432C">
            <w:pPr>
              <w:pStyle w:val="NoSpacing"/>
              <w:numPr>
                <w:ilvl w:val="0"/>
                <w:numId w:val="6"/>
              </w:numPr>
              <w:rPr>
                <w:b/>
              </w:rPr>
            </w:pPr>
            <w:r w:rsidRPr="00753412">
              <w:rPr>
                <w:b/>
              </w:rPr>
              <w:t>Target Audience</w:t>
            </w:r>
          </w:p>
          <w:p w:rsidR="00753412" w:rsidRPr="00753412" w:rsidRDefault="00753412" w:rsidP="0008432C">
            <w:pPr>
              <w:pStyle w:val="NoSpacing"/>
              <w:numPr>
                <w:ilvl w:val="0"/>
                <w:numId w:val="8"/>
              </w:numPr>
            </w:pPr>
            <w:r>
              <w:t>5</w:t>
            </w:r>
            <w:r w:rsidR="002E5377">
              <w:t xml:space="preserve"> audience segments </w:t>
            </w:r>
            <w:r>
              <w:t xml:space="preserve">are </w:t>
            </w:r>
            <w:r w:rsidR="002E5377">
              <w:t>identified b</w:t>
            </w:r>
            <w:r>
              <w:t>ased on occupational profiles by the Bureau of Labor Statistics. While the number of se</w:t>
            </w:r>
            <w:r w:rsidR="00DB2CFB">
              <w:t xml:space="preserve">gments is limited, the </w:t>
            </w:r>
            <w:r>
              <w:t>career progression routes</w:t>
            </w:r>
            <w:r w:rsidR="00DB2CFB">
              <w:t xml:space="preserve"> for segments</w:t>
            </w:r>
            <w:r>
              <w:t xml:space="preserve"> are well defined.</w:t>
            </w:r>
          </w:p>
          <w:p w:rsidR="00730058" w:rsidRPr="00753412" w:rsidRDefault="00730058" w:rsidP="0008432C">
            <w:pPr>
              <w:pStyle w:val="NoSpacing"/>
              <w:numPr>
                <w:ilvl w:val="0"/>
                <w:numId w:val="9"/>
              </w:numPr>
              <w:rPr>
                <w:b/>
              </w:rPr>
            </w:pPr>
            <w:r w:rsidRPr="00753412">
              <w:rPr>
                <w:b/>
              </w:rPr>
              <w:t>Employm</w:t>
            </w:r>
            <w:r w:rsidR="00D64852" w:rsidRPr="00753412">
              <w:rPr>
                <w:b/>
              </w:rPr>
              <w:t>ent T</w:t>
            </w:r>
            <w:r w:rsidRPr="00753412">
              <w:rPr>
                <w:b/>
              </w:rPr>
              <w:t>rends</w:t>
            </w:r>
          </w:p>
          <w:p w:rsidR="009B5056" w:rsidRPr="009B5056" w:rsidRDefault="004E1376" w:rsidP="0008432C">
            <w:pPr>
              <w:pStyle w:val="NoSpacing"/>
              <w:numPr>
                <w:ilvl w:val="0"/>
                <w:numId w:val="8"/>
              </w:numPr>
            </w:pPr>
            <w:r>
              <w:t>T</w:t>
            </w:r>
            <w:r w:rsidR="00753412" w:rsidRPr="00430BF7">
              <w:t>he</w:t>
            </w:r>
            <w:r w:rsidR="00753412">
              <w:t xml:space="preserve"> total</w:t>
            </w:r>
            <w:r w:rsidR="00753412" w:rsidRPr="00430BF7">
              <w:t xml:space="preserve"> size of the employed pool in target occupations</w:t>
            </w:r>
            <w:r w:rsidR="00753412">
              <w:t xml:space="preserve"> is large (</w:t>
            </w:r>
            <w:r w:rsidR="00230033">
              <w:t>7.9 million</w:t>
            </w:r>
            <w:r w:rsidR="00753412" w:rsidRPr="00430BF7">
              <w:t xml:space="preserve"> in 2008</w:t>
            </w:r>
            <w:r w:rsidR="00753412">
              <w:t>)</w:t>
            </w:r>
            <w:r w:rsidR="00753412" w:rsidRPr="00430BF7">
              <w:t xml:space="preserve"> and projected to grow</w:t>
            </w:r>
            <w:r w:rsidR="00753412">
              <w:t xml:space="preserve"> strongly</w:t>
            </w:r>
            <w:r w:rsidR="00753412" w:rsidRPr="00430BF7">
              <w:t xml:space="preserve"> by 14.92%</w:t>
            </w:r>
            <w:r w:rsidR="009B5056">
              <w:t xml:space="preserve"> (faster than average for all occupations)</w:t>
            </w:r>
            <w:r w:rsidR="00753412" w:rsidRPr="00430BF7">
              <w:t xml:space="preserve"> between 2008 and 2018</w:t>
            </w:r>
            <w:r>
              <w:t xml:space="preserve">. </w:t>
            </w:r>
          </w:p>
          <w:p w:rsidR="00730058" w:rsidRPr="009B5056" w:rsidRDefault="003D4376" w:rsidP="0008432C">
            <w:pPr>
              <w:pStyle w:val="NoSpacing"/>
              <w:numPr>
                <w:ilvl w:val="0"/>
                <w:numId w:val="9"/>
              </w:numPr>
              <w:rPr>
                <w:b/>
              </w:rPr>
            </w:pPr>
            <w:r w:rsidRPr="009B5056">
              <w:rPr>
                <w:b/>
              </w:rPr>
              <w:t>Market Opportunity</w:t>
            </w:r>
          </w:p>
          <w:p w:rsidR="00430BF7" w:rsidRPr="00430BF7" w:rsidRDefault="00430BF7" w:rsidP="0008432C">
            <w:pPr>
              <w:pStyle w:val="NoSpacing"/>
              <w:numPr>
                <w:ilvl w:val="0"/>
                <w:numId w:val="17"/>
              </w:numPr>
            </w:pPr>
            <w:r w:rsidRPr="00430BF7">
              <w:t xml:space="preserve">  Based on the employed pool in target occupations, the addressable market opportunity is </w:t>
            </w:r>
            <w:r w:rsidR="001E6746">
              <w:t>large (estimated at</w:t>
            </w:r>
            <w:r w:rsidRPr="00430BF7">
              <w:t xml:space="preserve"> 2</w:t>
            </w:r>
            <w:r w:rsidR="00230033">
              <w:t>.9 million</w:t>
            </w:r>
            <w:r w:rsidR="001E6746">
              <w:t>)</w:t>
            </w:r>
            <w:r w:rsidR="004E1376">
              <w:t>.</w:t>
            </w:r>
            <w:r w:rsidRPr="00430BF7">
              <w:t xml:space="preserve"> </w:t>
            </w:r>
          </w:p>
          <w:p w:rsidR="005963C7" w:rsidRPr="005963C7" w:rsidRDefault="005963C7" w:rsidP="0008432C">
            <w:pPr>
              <w:pStyle w:val="NoSpacing"/>
              <w:numPr>
                <w:ilvl w:val="0"/>
                <w:numId w:val="17"/>
              </w:numPr>
            </w:pPr>
            <w:r w:rsidRPr="005963C7">
              <w:t>Market opportunity</w:t>
            </w:r>
            <w:r w:rsidR="001E6746">
              <w:t xml:space="preserve"> estimate by concentration areas, </w:t>
            </w:r>
            <w:r>
              <w:t>based on likelihood of e</w:t>
            </w:r>
            <w:r w:rsidR="001E6746">
              <w:t>nrollment from audience segments, indicates a</w:t>
            </w:r>
            <w:r>
              <w:t xml:space="preserve"> range from 0.2 million (Leadership) to 2.8 m</w:t>
            </w:r>
            <w:r w:rsidR="001E6746">
              <w:t>illion (Education).However, b</w:t>
            </w:r>
            <w:r>
              <w:t>lended concentrations are expected to effectively address the available</w:t>
            </w:r>
            <w:r w:rsidR="001E6746">
              <w:t xml:space="preserve"> market</w:t>
            </w:r>
            <w:r>
              <w:t xml:space="preserve"> opportunity. </w:t>
            </w:r>
          </w:p>
          <w:p w:rsidR="007E0405" w:rsidRDefault="007E0405" w:rsidP="0008432C">
            <w:pPr>
              <w:pStyle w:val="NoSpacing"/>
              <w:numPr>
                <w:ilvl w:val="0"/>
                <w:numId w:val="9"/>
              </w:numPr>
              <w:rPr>
                <w:b/>
              </w:rPr>
            </w:pPr>
            <w:r w:rsidRPr="007E0405">
              <w:rPr>
                <w:b/>
              </w:rPr>
              <w:t>Trends in Texas</w:t>
            </w:r>
          </w:p>
          <w:p w:rsidR="00477B95" w:rsidRDefault="00477B95" w:rsidP="0008432C">
            <w:pPr>
              <w:pStyle w:val="NoSpacing"/>
              <w:numPr>
                <w:ilvl w:val="0"/>
                <w:numId w:val="17"/>
              </w:numPr>
            </w:pPr>
            <w:r>
              <w:t xml:space="preserve">Our analysis suggests </w:t>
            </w:r>
            <w:r w:rsidR="00451CD3">
              <w:t xml:space="preserve">likely </w:t>
            </w:r>
            <w:r>
              <w:t>strong demand in Texas</w:t>
            </w:r>
            <w:r w:rsidR="009B5056">
              <w:t xml:space="preserve"> (</w:t>
            </w:r>
            <w:r w:rsidR="004D53CD">
              <w:t xml:space="preserve">greater than </w:t>
            </w:r>
            <w:r w:rsidR="009B5056">
              <w:t xml:space="preserve">60% of doctoral degrees are Ed.D.) compared to other states (reference= </w:t>
            </w:r>
            <w:r>
              <w:t>17% in California</w:t>
            </w:r>
            <w:r w:rsidR="001E6746">
              <w:t>, published in peer-reviewed research journal</w:t>
            </w:r>
            <w:r>
              <w:t>)</w:t>
            </w:r>
            <w:r w:rsidR="00563CA0">
              <w:t>.</w:t>
            </w:r>
          </w:p>
          <w:p w:rsidR="002A0A2A" w:rsidRDefault="002A0A2A" w:rsidP="0008432C">
            <w:pPr>
              <w:pStyle w:val="NoSpacing"/>
              <w:numPr>
                <w:ilvl w:val="0"/>
                <w:numId w:val="17"/>
              </w:numPr>
            </w:pPr>
            <w:r>
              <w:t xml:space="preserve">The </w:t>
            </w:r>
            <w:r w:rsidRPr="001B0050">
              <w:t>Texas Superintendent participants</w:t>
            </w:r>
            <w:r>
              <w:t>’ dialogue highlighted</w:t>
            </w:r>
            <w:r w:rsidRPr="001B0050">
              <w:t xml:space="preserve"> the emerging Educational Technology impe</w:t>
            </w:r>
            <w:r>
              <w:t>rative at the leadership level (s</w:t>
            </w:r>
            <w:r w:rsidRPr="001B0050">
              <w:t xml:space="preserve">ource: “Creating a New Vision </w:t>
            </w:r>
            <w:r>
              <w:t>for Public Education in Texas”)</w:t>
            </w:r>
            <w:r w:rsidR="00230033">
              <w:t>.</w:t>
            </w:r>
          </w:p>
          <w:p w:rsidR="00430BF7" w:rsidRPr="00430BF7" w:rsidRDefault="00563CA0" w:rsidP="0008432C">
            <w:pPr>
              <w:pStyle w:val="NoSpacing"/>
              <w:numPr>
                <w:ilvl w:val="0"/>
                <w:numId w:val="4"/>
              </w:numPr>
            </w:pPr>
            <w:r>
              <w:t xml:space="preserve">Consider </w:t>
            </w:r>
            <w:r w:rsidR="00477B95">
              <w:t>2</w:t>
            </w:r>
            <w:r w:rsidR="00260E14">
              <w:t xml:space="preserve"> blended</w:t>
            </w:r>
            <w:r w:rsidR="00477B95">
              <w:t xml:space="preserve"> specialization areas for the proposed online</w:t>
            </w:r>
            <w:r w:rsidR="00430BF7" w:rsidRPr="00430BF7">
              <w:t xml:space="preserve"> Ed</w:t>
            </w:r>
            <w:r w:rsidR="006A3E71">
              <w:t>.</w:t>
            </w:r>
            <w:r w:rsidR="00430BF7" w:rsidRPr="00430BF7">
              <w:t>D</w:t>
            </w:r>
            <w:r w:rsidR="006A3E71">
              <w:t>.</w:t>
            </w:r>
            <w:r w:rsidR="00477B95">
              <w:t xml:space="preserve"> program</w:t>
            </w:r>
            <w:r w:rsidR="004E1376">
              <w:t>-</w:t>
            </w:r>
            <w:r w:rsidR="00260E14">
              <w:t xml:space="preserve"> </w:t>
            </w:r>
            <w:r w:rsidR="00430BF7" w:rsidRPr="00430BF7">
              <w:t>Leadership-Technology</w:t>
            </w:r>
            <w:r w:rsidR="00260E14">
              <w:t xml:space="preserve">, and </w:t>
            </w:r>
            <w:r w:rsidR="00430BF7" w:rsidRPr="00430BF7">
              <w:t>Curriculum-Technology</w:t>
            </w:r>
            <w:r>
              <w:t>.</w:t>
            </w:r>
          </w:p>
          <w:p w:rsidR="00430BF7" w:rsidRDefault="00477B95" w:rsidP="0008432C">
            <w:pPr>
              <w:pStyle w:val="NoSpacing"/>
              <w:numPr>
                <w:ilvl w:val="0"/>
                <w:numId w:val="4"/>
              </w:numPr>
            </w:pPr>
            <w:r>
              <w:t>Program differentiation</w:t>
            </w:r>
            <w:r w:rsidR="00FC2C0C">
              <w:t xml:space="preserve"> is expected to</w:t>
            </w:r>
            <w:r w:rsidR="00260E14">
              <w:t xml:space="preserve"> be accomplished through-</w:t>
            </w:r>
            <w:r w:rsidR="00FC2C0C">
              <w:t xml:space="preserve"> b</w:t>
            </w:r>
            <w:r w:rsidR="00430BF7" w:rsidRPr="00430BF7">
              <w:t>lended special</w:t>
            </w:r>
            <w:r w:rsidR="00FC2C0C">
              <w:t xml:space="preserve">ization areas, </w:t>
            </w:r>
            <w:r w:rsidR="00563CA0">
              <w:t>shorter program duration (</w:t>
            </w:r>
            <w:r w:rsidR="00430BF7" w:rsidRPr="00430BF7">
              <w:t>3-4 years</w:t>
            </w:r>
            <w:r w:rsidR="00563CA0">
              <w:t>)</w:t>
            </w:r>
            <w:r w:rsidR="006A0F88">
              <w:t>, and e</w:t>
            </w:r>
            <w:r w:rsidR="00430BF7" w:rsidRPr="00430BF7">
              <w:t>mbedding cost of tech</w:t>
            </w:r>
            <w:r w:rsidR="00563CA0">
              <w:t>nology tool in the program (i.e</w:t>
            </w:r>
            <w:r w:rsidR="00430BF7" w:rsidRPr="00430BF7">
              <w:t>. iPad)</w:t>
            </w:r>
            <w:r w:rsidR="00260E14">
              <w:t>.</w:t>
            </w:r>
          </w:p>
          <w:p w:rsidR="00AE0204" w:rsidRPr="00430BF7" w:rsidRDefault="00791257" w:rsidP="00791257">
            <w:pPr>
              <w:pStyle w:val="NoSpacing"/>
              <w:numPr>
                <w:ilvl w:val="0"/>
                <w:numId w:val="4"/>
              </w:numPr>
            </w:pPr>
            <w:r>
              <w:t>E</w:t>
            </w:r>
            <w:r w:rsidR="00430BF7" w:rsidRPr="00430BF7">
              <w:t>xisting curriculum from Leadership of Learning, Curriculum and Instruction and Digital Learning</w:t>
            </w:r>
            <w:r w:rsidR="00477B95">
              <w:t xml:space="preserve"> could be </w:t>
            </w:r>
            <w:r w:rsidR="00563CA0">
              <w:t>utilized</w:t>
            </w:r>
            <w:r w:rsidR="00430BF7" w:rsidRPr="00430BF7">
              <w:t>.</w:t>
            </w:r>
            <w:r w:rsidR="00563CA0">
              <w:t xml:space="preserve"> However, renaming </w:t>
            </w:r>
            <w:r w:rsidR="00430BF7" w:rsidRPr="00430BF7">
              <w:t xml:space="preserve">course titles for </w:t>
            </w:r>
            <w:r w:rsidR="006A3E71" w:rsidRPr="00430BF7">
              <w:t>Ed</w:t>
            </w:r>
            <w:r w:rsidR="006A3E71">
              <w:t>.</w:t>
            </w:r>
            <w:r w:rsidR="006A3E71" w:rsidRPr="00430BF7">
              <w:t>D</w:t>
            </w:r>
            <w:r w:rsidR="007C0600">
              <w:t xml:space="preserve">. </w:t>
            </w:r>
            <w:r w:rsidR="00477B95">
              <w:t xml:space="preserve">might be required based on </w:t>
            </w:r>
            <w:r w:rsidR="007C0600">
              <w:t xml:space="preserve">specific </w:t>
            </w:r>
            <w:r w:rsidR="00477B95">
              <w:t>learning outcome</w:t>
            </w:r>
            <w:r w:rsidR="007C0600">
              <w:t>s</w:t>
            </w:r>
            <w:r>
              <w:t>.</w:t>
            </w:r>
            <w:r w:rsidR="00477B95">
              <w:t xml:space="preserve"> </w:t>
            </w:r>
          </w:p>
        </w:tc>
      </w:tr>
    </w:tbl>
    <w:p w:rsidR="001B0050" w:rsidRDefault="001B0050" w:rsidP="00791257">
      <w:pPr>
        <w:spacing w:line="240" w:lineRule="auto"/>
      </w:pPr>
    </w:p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E07E81" w:rsidRPr="0002722A" w:rsidTr="00230033">
        <w:tc>
          <w:tcPr>
            <w:tcW w:w="10260" w:type="dxa"/>
            <w:shd w:val="clear" w:color="auto" w:fill="DDD9C3" w:themeFill="background2" w:themeFillShade="E6"/>
          </w:tcPr>
          <w:p w:rsidR="00E07E81" w:rsidRPr="003E6814" w:rsidRDefault="00E07E81" w:rsidP="002300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DEGREES CONFERRED TRENDS</w:t>
            </w:r>
          </w:p>
        </w:tc>
      </w:tr>
      <w:tr w:rsidR="00E07E81" w:rsidRPr="0002722A" w:rsidTr="00230033">
        <w:trPr>
          <w:trHeight w:val="1322"/>
        </w:trPr>
        <w:tc>
          <w:tcPr>
            <w:tcW w:w="10260" w:type="dxa"/>
          </w:tcPr>
          <w:p w:rsidR="00E07E81" w:rsidRPr="008C1722" w:rsidRDefault="00E07E81" w:rsidP="00230033">
            <w:pPr>
              <w:pStyle w:val="NoSpacing"/>
              <w:numPr>
                <w:ilvl w:val="0"/>
                <w:numId w:val="20"/>
              </w:numPr>
            </w:pPr>
            <w:r w:rsidRPr="008C1722">
              <w:rPr>
                <w:lang w:val="en-CA"/>
              </w:rPr>
              <w:t>In 2009, 14,658 doctoral degrees (both Ph.D. and Ed.D.) were conferred in Education and grew at a CAGR of 5.4% between 2005 and 2009 (source: IPEDS database</w:t>
            </w:r>
            <w:r>
              <w:rPr>
                <w:lang w:val="en-CA"/>
              </w:rPr>
              <w:t>, both first and second majors considered</w:t>
            </w:r>
            <w:r w:rsidRPr="008C1722">
              <w:rPr>
                <w:lang w:val="en-CA"/>
              </w:rPr>
              <w:t>)</w:t>
            </w:r>
            <w:r>
              <w:rPr>
                <w:lang w:val="en-CA"/>
              </w:rPr>
              <w:t>.</w:t>
            </w:r>
          </w:p>
          <w:p w:rsidR="00E07E81" w:rsidRPr="00F371F6" w:rsidRDefault="00E07E81" w:rsidP="00230033">
            <w:pPr>
              <w:pStyle w:val="NoSpacing"/>
              <w:numPr>
                <w:ilvl w:val="0"/>
                <w:numId w:val="20"/>
              </w:numPr>
            </w:pPr>
            <w:r w:rsidRPr="008C1722">
              <w:t>In 2006, SREB states accounted for 25.99% of the total conferred Master’s degrees, but accounted for 41.10% of conferred Doctoral degrees, exceeding expectation based on a proportionate scaling, indicating a strong regional demand in doctoral education (source: 2009 Fact Book on Higher Education by the Southern Regional Education Board)</w:t>
            </w:r>
            <w:r>
              <w:t>.</w:t>
            </w:r>
            <w:r w:rsidRPr="008C1722">
              <w:rPr>
                <w:lang w:val="en-CA"/>
              </w:rPr>
              <w:t xml:space="preserve"> </w:t>
            </w:r>
          </w:p>
        </w:tc>
      </w:tr>
    </w:tbl>
    <w:p w:rsidR="00E07E81" w:rsidRDefault="00E07E81" w:rsidP="00791257">
      <w:pPr>
        <w:spacing w:line="240" w:lineRule="auto"/>
      </w:pPr>
    </w:p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890A03" w:rsidRPr="003E6814" w:rsidTr="001E24E8">
        <w:tc>
          <w:tcPr>
            <w:tcW w:w="10260" w:type="dxa"/>
            <w:shd w:val="clear" w:color="auto" w:fill="DDD9C3" w:themeFill="background2" w:themeFillShade="E6"/>
          </w:tcPr>
          <w:p w:rsidR="00890A03" w:rsidRPr="003E6814" w:rsidRDefault="00890A03" w:rsidP="001E2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COMPETITIVE LANDSCAPE</w:t>
            </w:r>
          </w:p>
        </w:tc>
      </w:tr>
      <w:tr w:rsidR="00890A03" w:rsidTr="001E24E8">
        <w:trPr>
          <w:trHeight w:val="1565"/>
        </w:trPr>
        <w:tc>
          <w:tcPr>
            <w:tcW w:w="10260" w:type="dxa"/>
          </w:tcPr>
          <w:p w:rsidR="004250DB" w:rsidRDefault="004250DB" w:rsidP="0008432C">
            <w:pPr>
              <w:pStyle w:val="NoSpacing"/>
              <w:numPr>
                <w:ilvl w:val="0"/>
                <w:numId w:val="21"/>
              </w:numPr>
            </w:pPr>
            <w:r>
              <w:t>The competitive set consists of programs offered by 27 schools.</w:t>
            </w:r>
          </w:p>
          <w:p w:rsidR="004250DB" w:rsidRDefault="004250DB" w:rsidP="0008432C">
            <w:pPr>
              <w:pStyle w:val="NoSpacing"/>
              <w:numPr>
                <w:ilvl w:val="0"/>
                <w:numId w:val="21"/>
              </w:numPr>
            </w:pPr>
            <w:r>
              <w:t>The competitive set is composed on 7 schools in SREB states and 20 schools in Non-SREB states.</w:t>
            </w:r>
          </w:p>
          <w:p w:rsidR="004250DB" w:rsidRDefault="004250DB" w:rsidP="0008432C">
            <w:pPr>
              <w:pStyle w:val="NoSpacing"/>
              <w:numPr>
                <w:ilvl w:val="0"/>
                <w:numId w:val="21"/>
              </w:numPr>
            </w:pPr>
            <w:r w:rsidRPr="004250DB">
              <w:t>The average program tuition for the competitive set is $37,989.</w:t>
            </w:r>
            <w:r>
              <w:t xml:space="preserve"> </w:t>
            </w:r>
          </w:p>
          <w:p w:rsidR="00157DA7" w:rsidRPr="008C1722" w:rsidRDefault="00157DA7" w:rsidP="0008432C">
            <w:pPr>
              <w:pStyle w:val="NoSpacing"/>
              <w:numPr>
                <w:ilvl w:val="0"/>
                <w:numId w:val="21"/>
              </w:numPr>
            </w:pPr>
            <w:r w:rsidRPr="008C1722">
              <w:t>8 competing programs are identified</w:t>
            </w:r>
            <w:r w:rsidR="004250DB">
              <w:t xml:space="preserve"> in immediate competitive space based on brand awareness and price.</w:t>
            </w:r>
          </w:p>
          <w:p w:rsidR="00890A03" w:rsidRPr="00205054" w:rsidRDefault="004250DB" w:rsidP="0008432C">
            <w:pPr>
              <w:pStyle w:val="NoSpacing"/>
              <w:numPr>
                <w:ilvl w:val="0"/>
                <w:numId w:val="2"/>
              </w:numPr>
            </w:pPr>
            <w:r>
              <w:t>In the immediate competitive space, 3 schools are in SREB states, while 2 schools are regional (Texas or contiguous states) schools</w:t>
            </w:r>
            <w:r w:rsidR="00DD268F">
              <w:t>.</w:t>
            </w:r>
          </w:p>
        </w:tc>
      </w:tr>
    </w:tbl>
    <w:p w:rsidR="00791257" w:rsidRDefault="00791257" w:rsidP="0002722A">
      <w:pPr>
        <w:spacing w:line="240" w:lineRule="auto"/>
      </w:pPr>
    </w:p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9311F9" w:rsidRPr="003E6814" w:rsidTr="0002722A">
        <w:tc>
          <w:tcPr>
            <w:tcW w:w="10260" w:type="dxa"/>
            <w:shd w:val="clear" w:color="auto" w:fill="DDD9C3" w:themeFill="background2" w:themeFillShade="E6"/>
          </w:tcPr>
          <w:p w:rsidR="009311F9" w:rsidRPr="003E6814" w:rsidRDefault="009311F9" w:rsidP="000272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TARGET AUDIENCE</w:t>
            </w:r>
          </w:p>
        </w:tc>
      </w:tr>
      <w:tr w:rsidR="009311F9" w:rsidTr="003F0248">
        <w:trPr>
          <w:trHeight w:val="863"/>
        </w:trPr>
        <w:tc>
          <w:tcPr>
            <w:tcW w:w="10260" w:type="dxa"/>
          </w:tcPr>
          <w:p w:rsidR="009311F9" w:rsidRPr="00157DA7" w:rsidRDefault="00157DA7" w:rsidP="0008432C">
            <w:pPr>
              <w:pStyle w:val="NoSpacing"/>
              <w:numPr>
                <w:ilvl w:val="0"/>
                <w:numId w:val="22"/>
              </w:numPr>
            </w:pPr>
            <w:r w:rsidRPr="00430BF7">
              <w:t>5 potential a</w:t>
            </w:r>
            <w:r w:rsidR="00DD76A4">
              <w:t>udience groups are identified-</w:t>
            </w:r>
            <w:r w:rsidRPr="00430BF7">
              <w:t xml:space="preserve"> Primary, Secondary, and Special Education Teachers, Postsecondary Teachers, Other Teachers and Instructors, Education Administrators, and Instructional Coordinators</w:t>
            </w:r>
            <w:r w:rsidR="00DD268F">
              <w:t>.</w:t>
            </w:r>
            <w:r w:rsidRPr="00430BF7">
              <w:t xml:space="preserve"> </w:t>
            </w:r>
          </w:p>
        </w:tc>
      </w:tr>
    </w:tbl>
    <w:p w:rsidR="00791257" w:rsidRDefault="00791257" w:rsidP="0002722A">
      <w:pPr>
        <w:spacing w:line="240" w:lineRule="auto"/>
      </w:pPr>
    </w:p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02722A" w:rsidRPr="003E6814" w:rsidTr="0002722A">
        <w:tc>
          <w:tcPr>
            <w:tcW w:w="10260" w:type="dxa"/>
            <w:shd w:val="clear" w:color="auto" w:fill="DDD9C3" w:themeFill="background2" w:themeFillShade="E6"/>
          </w:tcPr>
          <w:p w:rsidR="0002722A" w:rsidRPr="003E6814" w:rsidRDefault="0002722A" w:rsidP="000272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EMPLOYMENT TRENDS</w:t>
            </w:r>
          </w:p>
        </w:tc>
      </w:tr>
      <w:tr w:rsidR="0002722A" w:rsidTr="0002722A">
        <w:trPr>
          <w:trHeight w:val="1565"/>
        </w:trPr>
        <w:tc>
          <w:tcPr>
            <w:tcW w:w="10260" w:type="dxa"/>
          </w:tcPr>
          <w:p w:rsidR="003F0248" w:rsidRPr="003F0248" w:rsidRDefault="00DD268F" w:rsidP="0008432C">
            <w:pPr>
              <w:pStyle w:val="NoSpacing"/>
              <w:numPr>
                <w:ilvl w:val="0"/>
                <w:numId w:val="3"/>
              </w:numPr>
            </w:pPr>
            <w:r w:rsidRPr="003F0248">
              <w:t>The size of the employed pool in target occupations was 7</w:t>
            </w:r>
            <w:r w:rsidR="00230033">
              <w:t>.9 million</w:t>
            </w:r>
            <w:r w:rsidRPr="003F0248">
              <w:t xml:space="preserve"> in 2008</w:t>
            </w:r>
            <w:r w:rsidR="003F0248" w:rsidRPr="003F0248">
              <w:t>.</w:t>
            </w:r>
          </w:p>
          <w:p w:rsidR="00DD268F" w:rsidRPr="003F0248" w:rsidRDefault="003F0248" w:rsidP="0008432C">
            <w:pPr>
              <w:pStyle w:val="NoSpacing"/>
              <w:numPr>
                <w:ilvl w:val="0"/>
                <w:numId w:val="3"/>
              </w:numPr>
            </w:pPr>
            <w:r w:rsidRPr="003F0248">
              <w:t xml:space="preserve">The employed pool is </w:t>
            </w:r>
            <w:r w:rsidR="00DD268F" w:rsidRPr="003F0248">
              <w:t>projected to grow by 14.92% between 2008 and 2018.</w:t>
            </w:r>
          </w:p>
          <w:p w:rsidR="00241203" w:rsidRPr="00241203" w:rsidRDefault="00C8694A" w:rsidP="0008432C">
            <w:pPr>
              <w:pStyle w:val="NoSpacing"/>
              <w:numPr>
                <w:ilvl w:val="0"/>
                <w:numId w:val="3"/>
              </w:numPr>
            </w:pPr>
            <w:r>
              <w:t>A</w:t>
            </w:r>
            <w:r w:rsidR="0002722A" w:rsidRPr="00241203">
              <w:t xml:space="preserve">udience segments </w:t>
            </w:r>
            <w:r w:rsidR="00241203">
              <w:t>ranked by</w:t>
            </w:r>
            <w:r w:rsidR="0002722A" w:rsidRPr="00241203">
              <w:t xml:space="preserve"> employed pool size</w:t>
            </w:r>
            <w:r w:rsidR="00241203">
              <w:t xml:space="preserve"> </w:t>
            </w:r>
            <w:r w:rsidR="0002722A" w:rsidRPr="00241203">
              <w:t>in 2008 are</w:t>
            </w:r>
            <w:r w:rsidR="00241203">
              <w:t xml:space="preserve"> (high</w:t>
            </w:r>
            <w:r w:rsidR="00241203" w:rsidRPr="00241203">
              <w:t xml:space="preserve"> to low)</w:t>
            </w:r>
            <w:r w:rsidR="0002722A" w:rsidRPr="00241203">
              <w:t xml:space="preserve">- </w:t>
            </w:r>
            <w:r w:rsidR="00241203" w:rsidRPr="00241203">
              <w:t>Primary, Secondary, and Special Education Teachers</w:t>
            </w:r>
            <w:r w:rsidR="00241203">
              <w:t xml:space="preserve"> (</w:t>
            </w:r>
            <w:r w:rsidR="00241203" w:rsidRPr="00241203">
              <w:t>4,521,500</w:t>
            </w:r>
            <w:r w:rsidR="00241203">
              <w:t>),</w:t>
            </w:r>
            <w:r w:rsidR="00241203" w:rsidRPr="00241203">
              <w:t xml:space="preserve"> Postsecondary Teachers</w:t>
            </w:r>
            <w:r w:rsidR="00241203">
              <w:t xml:space="preserve"> (</w:t>
            </w:r>
            <w:r w:rsidR="00241203" w:rsidRPr="00241203">
              <w:t>1,699,200</w:t>
            </w:r>
            <w:r w:rsidR="00241203">
              <w:t>)</w:t>
            </w:r>
            <w:r w:rsidR="00241203" w:rsidRPr="00241203">
              <w:t>, Other Teachers and Instructors</w:t>
            </w:r>
            <w:r w:rsidR="00241203">
              <w:t xml:space="preserve"> (</w:t>
            </w:r>
            <w:r w:rsidR="00241203" w:rsidRPr="00241203">
              <w:t>1,099,300</w:t>
            </w:r>
            <w:r w:rsidR="00241203">
              <w:t>)</w:t>
            </w:r>
            <w:r w:rsidR="00241203" w:rsidRPr="00241203">
              <w:t>, Education Administrators</w:t>
            </w:r>
            <w:r w:rsidR="00241203">
              <w:t xml:space="preserve"> (</w:t>
            </w:r>
            <w:r w:rsidR="00241203" w:rsidRPr="00241203">
              <w:t>445,400</w:t>
            </w:r>
            <w:r w:rsidR="00241203">
              <w:t>)</w:t>
            </w:r>
            <w:r w:rsidR="00241203" w:rsidRPr="00241203">
              <w:t>, and Instructional Coordinators</w:t>
            </w:r>
            <w:r w:rsidR="00241203">
              <w:t xml:space="preserve"> (</w:t>
            </w:r>
            <w:r w:rsidR="00241203" w:rsidRPr="00241203">
              <w:t>133,900</w:t>
            </w:r>
            <w:r w:rsidR="00241203">
              <w:t>)</w:t>
            </w:r>
            <w:r w:rsidR="00C96F47">
              <w:t>.</w:t>
            </w:r>
            <w:r w:rsidR="00241203" w:rsidRPr="00241203">
              <w:t xml:space="preserve"> </w:t>
            </w:r>
          </w:p>
          <w:p w:rsidR="0002722A" w:rsidRPr="0004432A" w:rsidRDefault="00C8694A" w:rsidP="0008432C">
            <w:pPr>
              <w:pStyle w:val="NoSpacing"/>
              <w:numPr>
                <w:ilvl w:val="0"/>
                <w:numId w:val="3"/>
              </w:numPr>
            </w:pPr>
            <w:r>
              <w:t>A</w:t>
            </w:r>
            <w:r w:rsidR="0002722A" w:rsidRPr="00DD76A4">
              <w:t xml:space="preserve">udience segments </w:t>
            </w:r>
            <w:r w:rsidR="00241203" w:rsidRPr="00DD76A4">
              <w:t xml:space="preserve">ranked by projected </w:t>
            </w:r>
            <w:r>
              <w:t>growth</w:t>
            </w:r>
            <w:r w:rsidR="0002722A" w:rsidRPr="00DD76A4">
              <w:t xml:space="preserve"> between 2008 and 2018 are</w:t>
            </w:r>
            <w:r w:rsidR="00DD76A4">
              <w:t xml:space="preserve"> (high to low</w:t>
            </w:r>
            <w:r w:rsidR="002C5D94" w:rsidRPr="00DD76A4">
              <w:t xml:space="preserve">)- Instructional Coordinators (23.23%), Other Teachers and Instructors (18.76%), </w:t>
            </w:r>
            <w:r w:rsidR="00DD76A4" w:rsidRPr="00DD76A4">
              <w:t xml:space="preserve">Postsecondary Teachers (15.12%), </w:t>
            </w:r>
            <w:r w:rsidR="002C5D94" w:rsidRPr="00DD76A4">
              <w:t>Primary, Secondary, and Special Education Teachers (</w:t>
            </w:r>
            <w:r w:rsidR="00DD76A4" w:rsidRPr="00DD76A4">
              <w:t>14.32%</w:t>
            </w:r>
            <w:r w:rsidR="002C5D94" w:rsidRPr="00DD76A4">
              <w:t xml:space="preserve">), </w:t>
            </w:r>
            <w:r w:rsidR="00DD76A4" w:rsidRPr="00DD76A4">
              <w:t xml:space="preserve">and </w:t>
            </w:r>
            <w:r w:rsidR="002C5D94" w:rsidRPr="00DD76A4">
              <w:t>Education Administrators (</w:t>
            </w:r>
            <w:r w:rsidR="00DD76A4" w:rsidRPr="00DD76A4">
              <w:t>8.33%)</w:t>
            </w:r>
            <w:r w:rsidR="00C96F47">
              <w:t>.</w:t>
            </w:r>
            <w:r w:rsidR="002C5D94" w:rsidRPr="00241203">
              <w:t xml:space="preserve"> </w:t>
            </w:r>
          </w:p>
        </w:tc>
      </w:tr>
    </w:tbl>
    <w:p w:rsidR="00791257" w:rsidRDefault="00791257" w:rsidP="0002722A">
      <w:pPr>
        <w:spacing w:line="240" w:lineRule="auto"/>
      </w:pPr>
    </w:p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02722A" w:rsidRPr="0002722A" w:rsidTr="0002722A">
        <w:tc>
          <w:tcPr>
            <w:tcW w:w="10260" w:type="dxa"/>
            <w:shd w:val="clear" w:color="auto" w:fill="DDD9C3" w:themeFill="background2" w:themeFillShade="E6"/>
          </w:tcPr>
          <w:p w:rsidR="0002722A" w:rsidRPr="0002722A" w:rsidRDefault="0002722A" w:rsidP="0002722A">
            <w:pPr>
              <w:rPr>
                <w:b/>
                <w:sz w:val="32"/>
                <w:szCs w:val="32"/>
              </w:rPr>
            </w:pPr>
            <w:r w:rsidRPr="0002722A">
              <w:rPr>
                <w:b/>
                <w:sz w:val="32"/>
                <w:szCs w:val="32"/>
              </w:rPr>
              <w:t>MARKET OPPORTUNITY</w:t>
            </w:r>
          </w:p>
        </w:tc>
      </w:tr>
      <w:tr w:rsidR="0002722A" w:rsidRPr="0002722A" w:rsidTr="007C0600">
        <w:trPr>
          <w:trHeight w:val="908"/>
        </w:trPr>
        <w:tc>
          <w:tcPr>
            <w:tcW w:w="10260" w:type="dxa"/>
          </w:tcPr>
          <w:p w:rsidR="007C0600" w:rsidRDefault="00DD76A4" w:rsidP="007C0600">
            <w:pPr>
              <w:pStyle w:val="NoSpacing"/>
              <w:numPr>
                <w:ilvl w:val="0"/>
                <w:numId w:val="23"/>
              </w:numPr>
            </w:pPr>
            <w:r>
              <w:t>T</w:t>
            </w:r>
            <w:r w:rsidR="00157DA7" w:rsidRPr="00430BF7">
              <w:t>he addressable market o</w:t>
            </w:r>
            <w:r w:rsidR="007C0600">
              <w:t>pportunity is estimated to be 2.9 million.</w:t>
            </w:r>
          </w:p>
          <w:p w:rsidR="0002722A" w:rsidRPr="00D64852" w:rsidRDefault="007C0600" w:rsidP="007C0600">
            <w:pPr>
              <w:pStyle w:val="NoSpacing"/>
              <w:numPr>
                <w:ilvl w:val="0"/>
                <w:numId w:val="23"/>
              </w:numPr>
            </w:pPr>
            <w:r w:rsidRPr="00DD76A4">
              <w:t xml:space="preserve"> </w:t>
            </w:r>
            <w:r w:rsidR="00157DA7" w:rsidRPr="00DD76A4">
              <w:t xml:space="preserve">Concentrations ordered by </w:t>
            </w:r>
            <w:r w:rsidR="00C8694A">
              <w:t>“</w:t>
            </w:r>
            <w:r w:rsidR="005C53DA">
              <w:t>na</w:t>
            </w:r>
            <w:r w:rsidR="00157DA7" w:rsidRPr="00DD76A4">
              <w:t>tional market opportunity</w:t>
            </w:r>
            <w:r w:rsidR="00C8694A">
              <w:t>”</w:t>
            </w:r>
            <w:r>
              <w:t xml:space="preserve"> (see definitions section)</w:t>
            </w:r>
            <w:r w:rsidR="00157DA7" w:rsidRPr="00DD76A4">
              <w:t xml:space="preserve"> are</w:t>
            </w:r>
            <w:r>
              <w:t xml:space="preserve"> </w:t>
            </w:r>
            <w:r w:rsidRPr="00DD76A4">
              <w:t>(high to low)</w:t>
            </w:r>
            <w:r w:rsidR="00157DA7" w:rsidRPr="00DD76A4">
              <w:t>: Education, Curriculum, Technology, and Leadership</w:t>
            </w:r>
            <w:r>
              <w:t>.</w:t>
            </w:r>
            <w:r w:rsidR="00C8694A">
              <w:t xml:space="preserve"> </w:t>
            </w:r>
          </w:p>
        </w:tc>
      </w:tr>
    </w:tbl>
    <w:p w:rsidR="00791257" w:rsidRDefault="00791257" w:rsidP="0002722A">
      <w:pPr>
        <w:spacing w:line="240" w:lineRule="auto"/>
      </w:pPr>
    </w:p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7C0600" w:rsidRPr="0002722A" w:rsidTr="00213656">
        <w:tc>
          <w:tcPr>
            <w:tcW w:w="10260" w:type="dxa"/>
            <w:shd w:val="clear" w:color="auto" w:fill="DDD9C3" w:themeFill="background2" w:themeFillShade="E6"/>
          </w:tcPr>
          <w:p w:rsidR="007C0600" w:rsidRPr="0002722A" w:rsidRDefault="007C0600" w:rsidP="002136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Ed.D. TRENDS IN TEXAS</w:t>
            </w:r>
          </w:p>
        </w:tc>
      </w:tr>
      <w:tr w:rsidR="007C0600" w:rsidRPr="0002722A" w:rsidTr="00213656">
        <w:trPr>
          <w:trHeight w:val="341"/>
        </w:trPr>
        <w:tc>
          <w:tcPr>
            <w:tcW w:w="10260" w:type="dxa"/>
          </w:tcPr>
          <w:p w:rsidR="007C0600" w:rsidRPr="009E29C9" w:rsidRDefault="007C0600" w:rsidP="00213656">
            <w:pPr>
              <w:pStyle w:val="NoSpacing"/>
              <w:numPr>
                <w:ilvl w:val="0"/>
                <w:numId w:val="23"/>
              </w:numPr>
            </w:pPr>
            <w:r w:rsidRPr="009E29C9">
              <w:t>The Ed.D. contribution to total doctoral degrees conferred in Texas is estimated to be greater than 60.9%</w:t>
            </w:r>
            <w:r>
              <w:t>.</w:t>
            </w:r>
            <w:r w:rsidRPr="009E29C9">
              <w:t xml:space="preserve"> </w:t>
            </w:r>
          </w:p>
          <w:p w:rsidR="007C0600" w:rsidRDefault="007C0600" w:rsidP="00213656">
            <w:pPr>
              <w:pStyle w:val="NoSpacing"/>
              <w:numPr>
                <w:ilvl w:val="0"/>
                <w:numId w:val="23"/>
              </w:numPr>
            </w:pPr>
            <w:r>
              <w:t>Estimated s</w:t>
            </w:r>
            <w:r w:rsidRPr="009E29C9">
              <w:t>ize of Ed.D. enrollment are</w:t>
            </w:r>
            <w:r>
              <w:t xml:space="preserve"> (high to low)- </w:t>
            </w:r>
            <w:r w:rsidRPr="009E29C9">
              <w:t>Curriculum</w:t>
            </w:r>
            <w:r>
              <w:t xml:space="preserve">= 31 </w:t>
            </w:r>
            <w:r w:rsidRPr="009E29C9">
              <w:t>, Leadership</w:t>
            </w:r>
            <w:r>
              <w:t>= 16</w:t>
            </w:r>
            <w:r w:rsidRPr="009E29C9">
              <w:t>, and Education</w:t>
            </w:r>
            <w:r>
              <w:t xml:space="preserve">= 15 </w:t>
            </w:r>
            <w:r w:rsidRPr="009E29C9">
              <w:t xml:space="preserve"> </w:t>
            </w:r>
          </w:p>
          <w:p w:rsidR="007C0600" w:rsidRDefault="007C0600" w:rsidP="00213656">
            <w:pPr>
              <w:pStyle w:val="NoSpacing"/>
              <w:numPr>
                <w:ilvl w:val="0"/>
                <w:numId w:val="23"/>
              </w:numPr>
            </w:pPr>
            <w:r w:rsidRPr="009E29C9">
              <w:t xml:space="preserve"> </w:t>
            </w:r>
            <w:r>
              <w:t>Estimated s</w:t>
            </w:r>
            <w:r w:rsidRPr="009E29C9">
              <w:t xml:space="preserve">ize of Ed.D. </w:t>
            </w:r>
            <w:r>
              <w:t>degrees</w:t>
            </w:r>
            <w:r w:rsidRPr="009E29C9">
              <w:t xml:space="preserve"> are</w:t>
            </w:r>
            <w:r>
              <w:t xml:space="preserve"> (high to low)- </w:t>
            </w:r>
            <w:r w:rsidRPr="009E29C9">
              <w:t>Curriculum</w:t>
            </w:r>
            <w:r>
              <w:t xml:space="preserve">= 15 </w:t>
            </w:r>
            <w:r w:rsidRPr="009E29C9">
              <w:t>, Leadership</w:t>
            </w:r>
            <w:r>
              <w:t>= 12</w:t>
            </w:r>
            <w:r w:rsidRPr="009E29C9">
              <w:t>, and Education</w:t>
            </w:r>
            <w:r>
              <w:t xml:space="preserve">= 7 </w:t>
            </w:r>
          </w:p>
          <w:p w:rsidR="007C0600" w:rsidRPr="00D64852" w:rsidRDefault="007C0600" w:rsidP="00213656">
            <w:pPr>
              <w:pStyle w:val="NoSpacing"/>
              <w:numPr>
                <w:ilvl w:val="0"/>
                <w:numId w:val="23"/>
              </w:numPr>
            </w:pPr>
            <w:r w:rsidRPr="0008432C">
              <w:t>The overall program success is expected to be strongly dependent on student retention strategies</w:t>
            </w:r>
          </w:p>
        </w:tc>
      </w:tr>
    </w:tbl>
    <w:p w:rsidR="007C0600" w:rsidRDefault="007C0600" w:rsidP="0002722A">
      <w:pPr>
        <w:spacing w:line="240" w:lineRule="auto"/>
      </w:pPr>
    </w:p>
    <w:tbl>
      <w:tblPr>
        <w:tblStyle w:val="TableGrid"/>
        <w:tblpPr w:leftFromText="180" w:rightFromText="180" w:vertAnchor="text" w:horzAnchor="margin" w:tblpY="24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E07E81" w:rsidRPr="003E6814" w:rsidTr="00E07E81">
        <w:tc>
          <w:tcPr>
            <w:tcW w:w="10260" w:type="dxa"/>
            <w:shd w:val="clear" w:color="auto" w:fill="DDD9C3" w:themeFill="background2" w:themeFillShade="E6"/>
          </w:tcPr>
          <w:p w:rsidR="00E07E81" w:rsidRPr="003E6814" w:rsidRDefault="00E07E81" w:rsidP="00E07E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METHODOLOGY</w:t>
            </w:r>
          </w:p>
        </w:tc>
      </w:tr>
      <w:tr w:rsidR="00E07E81" w:rsidTr="00E07E81">
        <w:trPr>
          <w:trHeight w:val="1565"/>
        </w:trPr>
        <w:tc>
          <w:tcPr>
            <w:tcW w:w="10260" w:type="dxa"/>
          </w:tcPr>
          <w:p w:rsidR="00E07E81" w:rsidRDefault="00E07E81" w:rsidP="00E07E81">
            <w:pPr>
              <w:pStyle w:val="NoSpacing"/>
              <w:rPr>
                <w:noProof/>
              </w:rPr>
            </w:pPr>
            <w:r>
              <w:rPr>
                <w:noProof/>
              </w:rPr>
              <w:t>The viability of the program is assessed by carrying out the following steps: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0"/>
              </w:numPr>
              <w:rPr>
                <w:noProof/>
              </w:rPr>
            </w:pPr>
            <w:r w:rsidRPr="00A8444B">
              <w:rPr>
                <w:b/>
                <w:noProof/>
              </w:rPr>
              <w:t>Supply</w:t>
            </w:r>
            <w:r>
              <w:rPr>
                <w:noProof/>
              </w:rPr>
              <w:t xml:space="preserve"> 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1"/>
              </w:numPr>
            </w:pPr>
            <w:r>
              <w:rPr>
                <w:noProof/>
              </w:rPr>
              <w:t xml:space="preserve">Direct or related degree disciplines are identified based on review of the </w:t>
            </w:r>
            <w:r>
              <w:t>National Center for Education Statistics’ Classification of Instructional Programs.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6"/>
              </w:numPr>
            </w:pPr>
            <w:r w:rsidRPr="00A8444B">
              <w:rPr>
                <w:b/>
              </w:rPr>
              <w:t>Competition</w:t>
            </w:r>
            <w:r>
              <w:t xml:space="preserve"> 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2"/>
              </w:numPr>
            </w:pPr>
            <w:r>
              <w:t>Competitive set of online programs is identified based on: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3"/>
              </w:numPr>
            </w:pPr>
            <w:r>
              <w:t xml:space="preserve">Brand competitiveness at national or regional level (based on National and Regional Universities categories defined by </w:t>
            </w:r>
            <w:r w:rsidRPr="003D4376">
              <w:rPr>
                <w:i/>
              </w:rPr>
              <w:t>US News and World Report</w:t>
            </w:r>
            <w:r>
              <w:t xml:space="preserve">), and 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3"/>
              </w:numPr>
            </w:pPr>
            <w:r>
              <w:t>Regional presence (physically located in home or contiguous state)</w:t>
            </w:r>
            <w:r w:rsidR="007C0600">
              <w:t>.</w:t>
            </w:r>
          </w:p>
          <w:p w:rsidR="00E07E81" w:rsidRPr="00FD745A" w:rsidRDefault="00E07E81" w:rsidP="00E07E81">
            <w:pPr>
              <w:pStyle w:val="NoSpacing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Audience</w:t>
            </w:r>
            <w:r w:rsidRPr="00FD745A">
              <w:rPr>
                <w:b/>
              </w:rPr>
              <w:t xml:space="preserve"> 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Target audience segments for program are identified based on: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5"/>
              </w:numPr>
              <w:rPr>
                <w:noProof/>
              </w:rPr>
            </w:pPr>
            <w:r w:rsidRPr="00A8444B">
              <w:rPr>
                <w:noProof/>
              </w:rPr>
              <w:t>Review</w:t>
            </w:r>
            <w:r>
              <w:rPr>
                <w:noProof/>
              </w:rPr>
              <w:t xml:space="preserve"> of</w:t>
            </w:r>
            <w:r w:rsidRPr="00A8444B">
              <w:rPr>
                <w:noProof/>
              </w:rPr>
              <w:t xml:space="preserve"> programs offered by immediate competition for students’ profiles, and marketing message.</w:t>
            </w:r>
          </w:p>
          <w:p w:rsidR="00E07E81" w:rsidRPr="00E16D21" w:rsidRDefault="00E07E81" w:rsidP="00E07E81">
            <w:pPr>
              <w:pStyle w:val="NoSpacing"/>
              <w:numPr>
                <w:ilvl w:val="0"/>
                <w:numId w:val="15"/>
              </w:numPr>
              <w:rPr>
                <w:noProof/>
              </w:rPr>
            </w:pPr>
            <w:r w:rsidRPr="00A8444B">
              <w:rPr>
                <w:noProof/>
              </w:rPr>
              <w:t xml:space="preserve">Expand the set of programs or review other </w:t>
            </w:r>
            <w:r>
              <w:rPr>
                <w:noProof/>
              </w:rPr>
              <w:t xml:space="preserve">sources if data is insufficient. </w:t>
            </w:r>
            <w:r w:rsidRPr="00E16D21">
              <w:rPr>
                <w:rFonts w:ascii="Century Gothic" w:eastAsia="+mn-ea" w:hAnsi="Century Gothic" w:cs="+mn-cs"/>
                <w:color w:val="FFFFFF"/>
                <w:kern w:val="24"/>
                <w:sz w:val="20"/>
                <w:szCs w:val="20"/>
              </w:rPr>
              <w:t xml:space="preserve"> </w:t>
            </w:r>
          </w:p>
          <w:p w:rsidR="00E07E81" w:rsidRPr="00A8444B" w:rsidRDefault="00E07E81" w:rsidP="00E07E81">
            <w:pPr>
              <w:pStyle w:val="NoSpacing"/>
              <w:numPr>
                <w:ilvl w:val="0"/>
                <w:numId w:val="15"/>
              </w:numPr>
              <w:rPr>
                <w:noProof/>
              </w:rPr>
            </w:pPr>
            <w:r w:rsidRPr="00A8444B">
              <w:rPr>
                <w:noProof/>
              </w:rPr>
              <w:t>Map potential audience groups to target occupations</w:t>
            </w:r>
            <w:r>
              <w:rPr>
                <w:noProof/>
              </w:rPr>
              <w:t xml:space="preserve"> (based on Bureau of Labor Statistics).</w:t>
            </w:r>
          </w:p>
          <w:p w:rsidR="00E07E81" w:rsidRPr="00FD745A" w:rsidRDefault="00E07E81" w:rsidP="00E07E81">
            <w:pPr>
              <w:pStyle w:val="NoSpacing"/>
              <w:numPr>
                <w:ilvl w:val="0"/>
                <w:numId w:val="16"/>
              </w:numPr>
              <w:rPr>
                <w:b/>
              </w:rPr>
            </w:pPr>
            <w:r w:rsidRPr="00FD745A">
              <w:rPr>
                <w:b/>
              </w:rPr>
              <w:t>Demand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8"/>
              </w:numPr>
              <w:rPr>
                <w:noProof/>
              </w:rPr>
            </w:pPr>
            <w:r w:rsidRPr="00243AF5">
              <w:rPr>
                <w:noProof/>
              </w:rPr>
              <w:t xml:space="preserve">Estimate </w:t>
            </w:r>
            <w:r>
              <w:rPr>
                <w:noProof/>
              </w:rPr>
              <w:t xml:space="preserve">total </w:t>
            </w:r>
            <w:r w:rsidRPr="00243AF5">
              <w:rPr>
                <w:noProof/>
              </w:rPr>
              <w:t>employed pool size and projected growth trends for target occupations</w:t>
            </w:r>
            <w:r>
              <w:rPr>
                <w:noProof/>
              </w:rPr>
              <w:t xml:space="preserve"> (based on Bureau of Labor Statistics).</w:t>
            </w:r>
          </w:p>
          <w:p w:rsidR="00E07E81" w:rsidRPr="00243AF5" w:rsidRDefault="00E07E81" w:rsidP="00E07E81">
            <w:pPr>
              <w:pStyle w:val="NoSpacing"/>
              <w:numPr>
                <w:ilvl w:val="0"/>
                <w:numId w:val="16"/>
              </w:numPr>
              <w:rPr>
                <w:b/>
              </w:rPr>
            </w:pPr>
            <w:r w:rsidRPr="00243AF5">
              <w:rPr>
                <w:b/>
              </w:rPr>
              <w:t xml:space="preserve">Market Opportunity </w:t>
            </w:r>
          </w:p>
          <w:p w:rsidR="00E07E81" w:rsidRPr="00243AF5" w:rsidRDefault="00E07E81" w:rsidP="00E07E81">
            <w:pPr>
              <w:pStyle w:val="NoSpacing"/>
              <w:numPr>
                <w:ilvl w:val="0"/>
                <w:numId w:val="18"/>
              </w:numPr>
              <w:rPr>
                <w:noProof/>
              </w:rPr>
            </w:pPr>
            <w:r w:rsidRPr="00243AF5">
              <w:rPr>
                <w:noProof/>
              </w:rPr>
              <w:t>Build market opportunity funnel using educational attainment data for target occupations and any other</w:t>
            </w:r>
            <w:r>
              <w:rPr>
                <w:noProof/>
              </w:rPr>
              <w:t xml:space="preserve"> relevant</w:t>
            </w:r>
            <w:r w:rsidRPr="00243AF5">
              <w:rPr>
                <w:noProof/>
              </w:rPr>
              <w:t xml:space="preserve"> filters</w:t>
            </w:r>
            <w:r>
              <w:rPr>
                <w:noProof/>
              </w:rPr>
              <w:t>.</w:t>
            </w:r>
            <w:r w:rsidRPr="00243AF5">
              <w:rPr>
                <w:noProof/>
              </w:rPr>
              <w:t xml:space="preserve"> </w:t>
            </w:r>
          </w:p>
          <w:p w:rsidR="00E07E81" w:rsidRPr="00243AF5" w:rsidRDefault="00E07E81" w:rsidP="00E07E81">
            <w:pPr>
              <w:pStyle w:val="NoSpacing"/>
              <w:numPr>
                <w:ilvl w:val="0"/>
                <w:numId w:val="16"/>
              </w:numPr>
              <w:rPr>
                <w:b/>
              </w:rPr>
            </w:pPr>
            <w:r w:rsidRPr="00243AF5">
              <w:rPr>
                <w:b/>
              </w:rPr>
              <w:t xml:space="preserve">Additional Analysis 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9"/>
              </w:numPr>
              <w:rPr>
                <w:noProof/>
              </w:rPr>
            </w:pPr>
            <w:r w:rsidRPr="00243AF5">
              <w:rPr>
                <w:noProof/>
              </w:rPr>
              <w:t>Further in-depth analysis as required (e.g. integrated scorecard)</w:t>
            </w:r>
            <w:r>
              <w:rPr>
                <w:noProof/>
              </w:rPr>
              <w:t>. In this assessment, additional analysis included an integrated scorecard to rank attractiveness of concentrations. The steps include-</w:t>
            </w:r>
          </w:p>
          <w:p w:rsidR="00E07E81" w:rsidRDefault="00E07E81" w:rsidP="00E07E81">
            <w:pPr>
              <w:pStyle w:val="NoSpacing"/>
              <w:numPr>
                <w:ilvl w:val="0"/>
                <w:numId w:val="15"/>
              </w:numPr>
              <w:rPr>
                <w:noProof/>
              </w:rPr>
            </w:pPr>
            <w:r>
              <w:rPr>
                <w:noProof/>
              </w:rPr>
              <w:t>Metrics in the scorecard include- degree volume and growth, online concentration occurrence frequency, notional market opportunity and notional growth rate at the national level; degree volume and online concentration occurrence frequency for SREB states</w:t>
            </w:r>
            <w:r w:rsidR="007C0600">
              <w:rPr>
                <w:noProof/>
              </w:rPr>
              <w:t>.</w:t>
            </w:r>
          </w:p>
          <w:p w:rsidR="00E07E81" w:rsidRPr="006A3E71" w:rsidRDefault="00E07E81" w:rsidP="00E07E81">
            <w:pPr>
              <w:pStyle w:val="NoSpacing"/>
              <w:numPr>
                <w:ilvl w:val="0"/>
                <w:numId w:val="15"/>
              </w:numPr>
              <w:rPr>
                <w:noProof/>
              </w:rPr>
            </w:pPr>
            <w:r w:rsidRPr="006A3E71">
              <w:rPr>
                <w:noProof/>
              </w:rPr>
              <w:t xml:space="preserve">The programs are compared against each other for each metric and ranked from 1 to 6. </w:t>
            </w:r>
          </w:p>
          <w:p w:rsidR="00E07E81" w:rsidRPr="006A3E71" w:rsidRDefault="00E07E81" w:rsidP="00E07E81">
            <w:pPr>
              <w:pStyle w:val="NoSpacing"/>
              <w:numPr>
                <w:ilvl w:val="0"/>
                <w:numId w:val="15"/>
              </w:numPr>
              <w:rPr>
                <w:noProof/>
              </w:rPr>
            </w:pPr>
            <w:r w:rsidRPr="006A3E71">
              <w:rPr>
                <w:noProof/>
              </w:rPr>
              <w:t>For a given metric, A rank of 1 denotes most favorable assessment for market entry, and rank of 6 denotes least favorable assessment for market entry</w:t>
            </w:r>
            <w:r w:rsidR="007C0600">
              <w:rPr>
                <w:noProof/>
              </w:rPr>
              <w:t>.</w:t>
            </w:r>
          </w:p>
          <w:p w:rsidR="00E07E81" w:rsidRPr="006A3E71" w:rsidRDefault="00E07E81" w:rsidP="00E07E81">
            <w:pPr>
              <w:pStyle w:val="NoSpacing"/>
              <w:numPr>
                <w:ilvl w:val="0"/>
                <w:numId w:val="15"/>
              </w:numPr>
              <w:rPr>
                <w:noProof/>
              </w:rPr>
            </w:pPr>
            <w:r w:rsidRPr="006A3E71">
              <w:rPr>
                <w:noProof/>
              </w:rPr>
              <w:t>Programs might be given the same rank for a given metric if the value for the metric is identical for the programs</w:t>
            </w:r>
            <w:r w:rsidR="007C0600">
              <w:rPr>
                <w:noProof/>
              </w:rPr>
              <w:t>.</w:t>
            </w:r>
          </w:p>
          <w:p w:rsidR="00E07E81" w:rsidRPr="00A8444B" w:rsidRDefault="00E07E81" w:rsidP="005C53DA">
            <w:pPr>
              <w:pStyle w:val="NoSpacing"/>
              <w:numPr>
                <w:ilvl w:val="0"/>
                <w:numId w:val="15"/>
              </w:numPr>
              <w:rPr>
                <w:noProof/>
              </w:rPr>
            </w:pPr>
            <w:r w:rsidRPr="006A3E71">
              <w:rPr>
                <w:noProof/>
              </w:rPr>
              <w:t>The favorable attributes for market entry are:Large size for total degrees conferred</w:t>
            </w:r>
            <w:r>
              <w:rPr>
                <w:noProof/>
              </w:rPr>
              <w:t xml:space="preserve">, </w:t>
            </w:r>
            <w:r w:rsidRPr="006A3E71">
              <w:rPr>
                <w:noProof/>
              </w:rPr>
              <w:t>high degrees conferred CAGR</w:t>
            </w:r>
            <w:r>
              <w:rPr>
                <w:noProof/>
              </w:rPr>
              <w:t>, l</w:t>
            </w:r>
            <w:r w:rsidRPr="006A3E71">
              <w:rPr>
                <w:noProof/>
              </w:rPr>
              <w:t>arge</w:t>
            </w:r>
            <w:r>
              <w:rPr>
                <w:noProof/>
              </w:rPr>
              <w:t xml:space="preserve"> notional market opportunity,</w:t>
            </w:r>
            <w:r w:rsidRPr="006A3E71">
              <w:rPr>
                <w:noProof/>
              </w:rPr>
              <w:t xml:space="preserve"> high notional growth rate</w:t>
            </w:r>
            <w:r>
              <w:rPr>
                <w:noProof/>
              </w:rPr>
              <w:t>, and h</w:t>
            </w:r>
            <w:r w:rsidRPr="006A3E71">
              <w:rPr>
                <w:noProof/>
              </w:rPr>
              <w:t>igh occurrence frequency for the online concentration offered (assuming total number of offerings for a concentration is in response to demand in the market</w:t>
            </w:r>
            <w:r>
              <w:rPr>
                <w:noProof/>
              </w:rPr>
              <w:t>)</w:t>
            </w:r>
            <w:r w:rsidR="007C0600">
              <w:rPr>
                <w:noProof/>
              </w:rPr>
              <w:t>.</w:t>
            </w:r>
            <w:r w:rsidRPr="00243AF5">
              <w:rPr>
                <w:noProof/>
              </w:rPr>
              <w:t xml:space="preserve"> </w:t>
            </w:r>
          </w:p>
        </w:tc>
      </w:tr>
    </w:tbl>
    <w:p w:rsidR="00791257" w:rsidRDefault="00791257" w:rsidP="00AA59A1"/>
    <w:tbl>
      <w:tblPr>
        <w:tblStyle w:val="TableGrid"/>
        <w:tblW w:w="1026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/>
      </w:tblPr>
      <w:tblGrid>
        <w:gridCol w:w="10260"/>
      </w:tblGrid>
      <w:tr w:rsidR="009E29C9" w:rsidRPr="0002722A" w:rsidTr="009E29C9">
        <w:tc>
          <w:tcPr>
            <w:tcW w:w="10260" w:type="dxa"/>
            <w:shd w:val="clear" w:color="auto" w:fill="DDD9C3" w:themeFill="background2" w:themeFillShade="E6"/>
          </w:tcPr>
          <w:p w:rsidR="009E29C9" w:rsidRPr="0002722A" w:rsidRDefault="009E29C9" w:rsidP="009E29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DEFINITIONS</w:t>
            </w:r>
          </w:p>
        </w:tc>
      </w:tr>
      <w:tr w:rsidR="009E29C9" w:rsidRPr="0002722A" w:rsidTr="009E29C9">
        <w:trPr>
          <w:trHeight w:val="1322"/>
        </w:trPr>
        <w:tc>
          <w:tcPr>
            <w:tcW w:w="10260" w:type="dxa"/>
          </w:tcPr>
          <w:p w:rsidR="007C4B97" w:rsidRDefault="00C9321D" w:rsidP="00C9321D">
            <w:pPr>
              <w:pStyle w:val="NoSpacing"/>
              <w:numPr>
                <w:ilvl w:val="0"/>
                <w:numId w:val="24"/>
              </w:numPr>
            </w:pPr>
            <w:r w:rsidRPr="00C9321D">
              <w:rPr>
                <w:b/>
                <w:bCs/>
              </w:rPr>
              <w:t>SREB States:</w:t>
            </w:r>
            <w:r w:rsidRPr="00C9321D">
              <w:t xml:space="preserve"> Include Alabama, Arkansas, Delaware, Florida, Georgia, Kentucky, Louisiana, Maryland, Mississippi, North Carolina, Oklahoma, South Carolina, Tennessee, Texas, Virginia,  and  West Virginia</w:t>
            </w:r>
          </w:p>
          <w:p w:rsidR="009E29C9" w:rsidRDefault="007C4B97" w:rsidP="007C4B97">
            <w:pPr>
              <w:pStyle w:val="NoSpacing"/>
              <w:ind w:left="360"/>
            </w:pPr>
            <w:r>
              <w:rPr>
                <w:b/>
                <w:bCs/>
              </w:rPr>
              <w:t>(</w:t>
            </w:r>
            <w:r>
              <w:t>Defined by the Southern Regional Education Board)</w:t>
            </w:r>
            <w:r w:rsidR="007C0600">
              <w:t>.</w:t>
            </w:r>
            <w:r w:rsidR="00C9321D" w:rsidRPr="00C9321D">
              <w:t xml:space="preserve"> </w:t>
            </w:r>
          </w:p>
          <w:p w:rsidR="00C9321D" w:rsidRDefault="005C53DA" w:rsidP="00C9321D">
            <w:pPr>
              <w:pStyle w:val="NoSpacing"/>
              <w:numPr>
                <w:ilvl w:val="0"/>
                <w:numId w:val="24"/>
              </w:numPr>
            </w:pPr>
            <w:r>
              <w:rPr>
                <w:b/>
                <w:bCs/>
              </w:rPr>
              <w:t>Na</w:t>
            </w:r>
            <w:r w:rsidR="00C9321D" w:rsidRPr="00C9321D">
              <w:rPr>
                <w:b/>
                <w:bCs/>
              </w:rPr>
              <w:t>tional Market Opportunity:</w:t>
            </w:r>
            <w:r w:rsidR="00C9321D" w:rsidRPr="00C9321D">
              <w:t xml:space="preserve"> Assign a rating score for the likelihood of candidate from the target group pursuing a particular concentration and compute weighted sum of the individual estimated market opportunity for each target group</w:t>
            </w:r>
            <w:r w:rsidR="007C0600">
              <w:t>.</w:t>
            </w:r>
          </w:p>
          <w:p w:rsidR="00791257" w:rsidRPr="00D64852" w:rsidRDefault="005C53DA" w:rsidP="00791257">
            <w:pPr>
              <w:pStyle w:val="NoSpacing"/>
              <w:numPr>
                <w:ilvl w:val="0"/>
                <w:numId w:val="24"/>
              </w:numPr>
            </w:pPr>
            <w:r>
              <w:rPr>
                <w:b/>
                <w:bCs/>
              </w:rPr>
              <w:t>Na</w:t>
            </w:r>
            <w:r w:rsidR="00791257" w:rsidRPr="00791257">
              <w:rPr>
                <w:b/>
                <w:bCs/>
              </w:rPr>
              <w:t>tional Growth Rate:</w:t>
            </w:r>
            <w:r w:rsidR="00791257" w:rsidRPr="00791257">
              <w:t xml:space="preserve"> Projected 10-yr (2008-18) percent change in cumulative employed pool in target occupations that have received a “High” rating.</w:t>
            </w:r>
          </w:p>
        </w:tc>
      </w:tr>
    </w:tbl>
    <w:p w:rsidR="007C0600" w:rsidRPr="00AA59A1" w:rsidRDefault="007C0600" w:rsidP="00AA59A1">
      <w:pPr>
        <w:sectPr w:rsidR="007C0600" w:rsidRPr="00AA59A1" w:rsidSect="0048162E">
          <w:footerReference w:type="default" r:id="rId12"/>
          <w:footerReference w:type="first" r:id="rId13"/>
          <w:pgSz w:w="12240" w:h="15840"/>
          <w:pgMar w:top="1080" w:right="1080" w:bottom="1080" w:left="1080" w:header="634" w:footer="565" w:gutter="0"/>
          <w:cols w:space="720"/>
          <w:titlePg/>
          <w:docGrid w:linePitch="360"/>
        </w:sectPr>
      </w:pPr>
    </w:p>
    <w:p w:rsidR="009626E2" w:rsidRDefault="009626E2" w:rsidP="00553FB4"/>
    <w:p w:rsidR="00F56D23" w:rsidRDefault="00596C03" w:rsidP="00553FB4">
      <w:r>
        <w:rPr>
          <w:noProof/>
          <w:lang w:eastAsia="zh-TW"/>
        </w:rPr>
        <w:pict>
          <v:rect id="_x0000_s1026" style="position:absolute;margin-left:-.6pt;margin-top:43.2pt;width:214.15pt;height:709.75pt;flip:x;z-index:251665408;mso-width-percent:350;mso-wrap-distance-top:7.2pt;mso-wrap-distance-bottom:7.2pt;mso-position-horizontal-relative:page;mso-position-vertical-relative:page;mso-width-percent:350;mso-height-relative:margin" o:allowincell="f" fillcolor="#ddd8c2 [2894]" stroked="f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230033" w:rsidRPr="00DE58CC" w:rsidRDefault="00230033" w:rsidP="002A5812">
                  <w:pPr>
                    <w:shd w:val="clear" w:color="auto" w:fill="DDD9C3" w:themeFill="background2" w:themeFillShade="E6"/>
                  </w:pPr>
                  <w:r w:rsidRPr="00DE58CC">
                    <w:t>This document is the prop</w:t>
                  </w:r>
                  <w:r>
                    <w:t>erty of Embanet-Compass Knowledge Group and cannot be duplicated without the express permission of the company.</w:t>
                  </w:r>
                </w:p>
              </w:txbxContent>
            </v:textbox>
            <w10:wrap type="square" anchorx="page" anchory="page"/>
          </v:rect>
        </w:pict>
      </w:r>
    </w:p>
    <w:p w:rsidR="00F56D23" w:rsidRDefault="00F56D23" w:rsidP="00553FB4"/>
    <w:p w:rsidR="00F56D23" w:rsidRDefault="00F56D23" w:rsidP="00553FB4"/>
    <w:p w:rsidR="008D4AEF" w:rsidRDefault="008D4AEF" w:rsidP="00553FB4"/>
    <w:p w:rsidR="008D4AEF" w:rsidRDefault="008D4AEF" w:rsidP="00553FB4"/>
    <w:p w:rsidR="00510820" w:rsidRDefault="00510820" w:rsidP="00510820"/>
    <w:p w:rsidR="00510820" w:rsidRDefault="00510820" w:rsidP="00390F8B">
      <w:pPr>
        <w:jc w:val="center"/>
      </w:pPr>
    </w:p>
    <w:p w:rsidR="00510820" w:rsidRDefault="00510820" w:rsidP="00510820"/>
    <w:p w:rsidR="00510820" w:rsidRDefault="00510820" w:rsidP="00510820"/>
    <w:p w:rsidR="00510820" w:rsidRDefault="00510820" w:rsidP="00510820"/>
    <w:p w:rsidR="00510820" w:rsidRDefault="00510820" w:rsidP="00510820"/>
    <w:p w:rsidR="00510820" w:rsidRDefault="00510820" w:rsidP="00510820"/>
    <w:p w:rsidR="00510820" w:rsidRDefault="002D4EC0" w:rsidP="00510820">
      <w:r w:rsidRPr="002D4EC0">
        <w:rPr>
          <w:noProof/>
        </w:rPr>
        <w:drawing>
          <wp:inline distT="0" distB="0" distL="0" distR="0">
            <wp:extent cx="4552803" cy="679268"/>
            <wp:effectExtent l="19050" t="0" r="147" b="0"/>
            <wp:docPr id="8" name="Picture 7" descr="logo-e-c-kg-final-4.5inx0.5i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-c-kg-final-4.5inx0.5in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162" cy="68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FB4" w:rsidRDefault="00553FB4" w:rsidP="00553FB4"/>
    <w:p w:rsidR="00553FB4" w:rsidRDefault="00553FB4" w:rsidP="00553FB4"/>
    <w:p w:rsidR="00553FB4" w:rsidRDefault="00553FB4" w:rsidP="00553FB4"/>
    <w:p w:rsidR="00553FB4" w:rsidRDefault="00553FB4" w:rsidP="00553FB4"/>
    <w:p w:rsidR="00553FB4" w:rsidRDefault="00553FB4" w:rsidP="00553FB4"/>
    <w:p w:rsidR="00553FB4" w:rsidRDefault="00553FB4" w:rsidP="00553FB4"/>
    <w:p w:rsidR="00553FB4" w:rsidRDefault="00553FB4" w:rsidP="00553FB4"/>
    <w:p w:rsidR="00553FB4" w:rsidRDefault="00553FB4" w:rsidP="00553FB4"/>
    <w:p w:rsidR="002A5812" w:rsidRDefault="002A5812" w:rsidP="00553FB4"/>
    <w:p w:rsidR="002A5812" w:rsidRDefault="002A5812"/>
    <w:p w:rsidR="002A5812" w:rsidRDefault="002A5812" w:rsidP="00553FB4"/>
    <w:p w:rsidR="0072083A" w:rsidRPr="00553FB4" w:rsidRDefault="0072083A" w:rsidP="00553FB4"/>
    <w:sectPr w:rsidR="0072083A" w:rsidRPr="00553FB4" w:rsidSect="00B64BAE">
      <w:footerReference w:type="first" r:id="rId15"/>
      <w:pgSz w:w="12240" w:h="15840"/>
      <w:pgMar w:top="633" w:right="1440" w:bottom="720" w:left="1440" w:header="274" w:footer="1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E5B" w:rsidRDefault="00486E5B" w:rsidP="00BB0C90">
      <w:pPr>
        <w:spacing w:after="0" w:line="240" w:lineRule="auto"/>
      </w:pPr>
      <w:r>
        <w:separator/>
      </w:r>
    </w:p>
  </w:endnote>
  <w:endnote w:type="continuationSeparator" w:id="0">
    <w:p w:rsidR="00486E5B" w:rsidRDefault="00486E5B" w:rsidP="00BB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id w:val="185024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230033" w:rsidRPr="009626E2" w:rsidRDefault="00230033" w:rsidP="003C4E3E">
        <w:pPr>
          <w:pStyle w:val="ABFooter"/>
          <w:pBdr>
            <w:top w:val="single" w:sz="8" w:space="0" w:color="C3A204"/>
          </w:pBdr>
          <w:ind w:right="-270" w:hanging="540"/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>abilene christian University MA Communication executive summary</w:t>
        </w:r>
        <w:r>
          <w:rPr>
            <w:rFonts w:asciiTheme="minorHAnsi" w:hAnsiTheme="minorHAnsi"/>
          </w:rPr>
          <w:tab/>
          <w:t xml:space="preserve">            Embanet-compass knowledge group</w:t>
        </w:r>
        <w:r w:rsidRPr="0094420A">
          <w:rPr>
            <w:rFonts w:asciiTheme="minorHAnsi" w:hAnsiTheme="minorHAnsi"/>
          </w:rPr>
          <w:t xml:space="preserve">              </w:t>
        </w:r>
        <w:r>
          <w:rPr>
            <w:rFonts w:asciiTheme="minorHAnsi" w:hAnsiTheme="minorHAnsi"/>
          </w:rPr>
          <w:t xml:space="preserve">               </w:t>
        </w:r>
        <w:r w:rsidRPr="0094420A">
          <w:rPr>
            <w:rFonts w:asciiTheme="minorHAnsi" w:hAnsiTheme="minorHAnsi"/>
          </w:rPr>
          <w:t xml:space="preserve">       </w:t>
        </w:r>
        <w:r>
          <w:rPr>
            <w:rFonts w:asciiTheme="minorHAnsi" w:hAnsiTheme="minorHAnsi"/>
          </w:rPr>
          <w:t xml:space="preserve">                                                   </w:t>
        </w:r>
        <w:r w:rsidRPr="0094420A">
          <w:rPr>
            <w:rFonts w:asciiTheme="minorHAnsi" w:hAnsiTheme="minorHAnsi"/>
          </w:rPr>
          <w:t xml:space="preserve"> </w:t>
        </w:r>
        <w:r>
          <w:rPr>
            <w:rFonts w:asciiTheme="minorHAnsi" w:hAnsiTheme="minorHAnsi"/>
          </w:rPr>
          <w:t xml:space="preserve">     </w:t>
        </w:r>
        <w:r w:rsidR="00596C03" w:rsidRPr="0094420A">
          <w:rPr>
            <w:rFonts w:asciiTheme="minorHAnsi" w:hAnsiTheme="minorHAnsi"/>
          </w:rPr>
          <w:fldChar w:fldCharType="begin"/>
        </w:r>
        <w:r w:rsidRPr="0094420A">
          <w:rPr>
            <w:rFonts w:asciiTheme="minorHAnsi" w:hAnsiTheme="minorHAnsi"/>
          </w:rPr>
          <w:instrText xml:space="preserve"> PAGE   \* MERGEFORMAT </w:instrText>
        </w:r>
        <w:r w:rsidR="00596C03" w:rsidRPr="0094420A">
          <w:rPr>
            <w:rFonts w:asciiTheme="minorHAnsi" w:hAnsiTheme="minorHAnsi"/>
          </w:rPr>
          <w:fldChar w:fldCharType="separate"/>
        </w:r>
        <w:r w:rsidR="004F076D">
          <w:rPr>
            <w:rFonts w:asciiTheme="minorHAnsi" w:hAnsiTheme="minorHAnsi"/>
            <w:noProof/>
          </w:rPr>
          <w:t>4</w:t>
        </w:r>
        <w:r w:rsidR="00596C03" w:rsidRPr="0094420A">
          <w:rPr>
            <w:rFonts w:asciiTheme="minorHAnsi" w:hAnsiTheme="minorHAnsi"/>
          </w:rPr>
          <w:fldChar w:fldCharType="end"/>
        </w:r>
        <w:r w:rsidRPr="0094420A">
          <w:rPr>
            <w:rFonts w:asciiTheme="minorHAnsi" w:hAnsiTheme="minorHAnsi"/>
          </w:rPr>
          <w:t xml:space="preserve">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033" w:rsidRPr="00220E22" w:rsidRDefault="00596C03" w:rsidP="00B5194E">
    <w:pPr>
      <w:pStyle w:val="Footer"/>
      <w:rPr>
        <w:sz w:val="20"/>
        <w:szCs w:val="20"/>
      </w:rPr>
    </w:pPr>
    <w:r>
      <w:rPr>
        <w:noProof/>
        <w:sz w:val="20"/>
        <w:szCs w:val="20"/>
      </w:rPr>
      <w:pict>
        <v:group id="_x0000_s17409" style="position:absolute;margin-left:-4.05pt;margin-top:-11.75pt;width:518.25pt;height:48.65pt;z-index:-251655168" coordorigin="1320,14565" coordsize="9660,973" wrapcoords="0 0 21600 0 21600 21600 0 21600 0 0">
          <v:group id="_x0000_s17410" style="position:absolute;left:1320;top:14573;width:4632;height:965" coordorigin="1320,14573" coordsize="4632,9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411" type="#_x0000_t202" style="position:absolute;left:1320;top:14573;width:1910;height:949;mso-width-relative:margin;mso-height-relative:margin" filled="f" stroked="f">
              <v:textbox style="mso-next-textbox:#_x0000_s17411">
                <w:txbxContent>
                  <w:p w:rsidR="00230033" w:rsidRPr="002D10CD" w:rsidRDefault="00230033" w:rsidP="00B5194E">
                    <w:pPr>
                      <w:spacing w:after="0" w:line="240" w:lineRule="auto"/>
                      <w:rPr>
                        <w:b/>
                        <w:color w:val="243A76"/>
                        <w:sz w:val="16"/>
                        <w:szCs w:val="16"/>
                      </w:rPr>
                    </w:pPr>
                    <w:r w:rsidRPr="002D10CD">
                      <w:rPr>
                        <w:b/>
                        <w:color w:val="243A76"/>
                        <w:sz w:val="16"/>
                        <w:szCs w:val="16"/>
                      </w:rPr>
                      <w:t>Toronto</w:t>
                    </w:r>
                  </w:p>
                  <w:p w:rsidR="00230033" w:rsidRPr="00D051B5" w:rsidRDefault="00230033" w:rsidP="00B5194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225 Sparks Ave.</w:t>
                    </w:r>
                  </w:p>
                  <w:p w:rsidR="00230033" w:rsidRPr="00D051B5" w:rsidRDefault="00230033" w:rsidP="00B5194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D051B5">
                      <w:rPr>
                        <w:sz w:val="16"/>
                        <w:szCs w:val="16"/>
                      </w:rPr>
                      <w:t>Toronto, ON, M2H 2S5</w:t>
                    </w:r>
                  </w:p>
                </w:txbxContent>
              </v:textbox>
            </v:shape>
            <v:shape id="_x0000_s17412" type="#_x0000_t202" style="position:absolute;left:3180;top:14573;width:2772;height:965" filled="f" stroked="f">
              <v:textbox style="mso-next-textbox:#_x0000_s17412">
                <w:txbxContent>
                  <w:p w:rsidR="00230033" w:rsidRPr="002D10CD" w:rsidRDefault="00230033" w:rsidP="00B5194E">
                    <w:pPr>
                      <w:spacing w:after="0" w:line="240" w:lineRule="auto"/>
                      <w:rPr>
                        <w:b/>
                        <w:color w:val="243A76"/>
                        <w:sz w:val="16"/>
                        <w:szCs w:val="16"/>
                      </w:rPr>
                    </w:pPr>
                    <w:r w:rsidRPr="002D10CD">
                      <w:rPr>
                        <w:b/>
                        <w:color w:val="243A76"/>
                        <w:sz w:val="16"/>
                        <w:szCs w:val="16"/>
                      </w:rPr>
                      <w:t>Chicago</w:t>
                    </w:r>
                  </w:p>
                  <w:p w:rsidR="00230033" w:rsidRDefault="00230033" w:rsidP="00B5194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AF5E18">
                      <w:rPr>
                        <w:bCs/>
                        <w:sz w:val="16"/>
                        <w:szCs w:val="16"/>
                      </w:rPr>
                      <w:t>50 Northwest Point Blvd</w:t>
                    </w:r>
                    <w:r>
                      <w:rPr>
                        <w:sz w:val="16"/>
                        <w:szCs w:val="16"/>
                      </w:rPr>
                      <w:t>., 5</w:t>
                    </w:r>
                    <w:r w:rsidRPr="00AF5E18">
                      <w:rPr>
                        <w:sz w:val="16"/>
                        <w:szCs w:val="16"/>
                        <w:vertAlign w:val="superscript"/>
                      </w:rPr>
                      <w:t>th</w:t>
                    </w:r>
                    <w:r>
                      <w:rPr>
                        <w:sz w:val="16"/>
                        <w:szCs w:val="16"/>
                      </w:rPr>
                      <w:t xml:space="preserve"> Floor</w:t>
                    </w:r>
                  </w:p>
                  <w:p w:rsidR="00230033" w:rsidRPr="00AF5E18" w:rsidRDefault="00230033" w:rsidP="00B5194E">
                    <w:pPr>
                      <w:spacing w:after="0" w:line="240" w:lineRule="auto"/>
                      <w:rPr>
                        <w:bCs/>
                        <w:sz w:val="16"/>
                        <w:szCs w:val="16"/>
                      </w:rPr>
                    </w:pPr>
                    <w:r w:rsidRPr="00AF5E18">
                      <w:rPr>
                        <w:bCs/>
                        <w:sz w:val="16"/>
                        <w:szCs w:val="16"/>
                      </w:rPr>
                      <w:t>Elk Grove Village, IL 60007</w:t>
                    </w:r>
                  </w:p>
                  <w:p w:rsidR="00230033" w:rsidRPr="00D051B5" w:rsidRDefault="00230033" w:rsidP="00B5194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  <v:group id="_x0000_s17413" style="position:absolute;left:5835;top:14565;width:5145;height:965" coordorigin="5835,14565" coordsize="5145,965">
            <v:shape id="_x0000_s17414" type="#_x0000_t202" style="position:absolute;left:5835;top:14573;width:3090;height:957" filled="f" stroked="f">
              <v:textbox style="mso-next-textbox:#_x0000_s17414">
                <w:txbxContent>
                  <w:p w:rsidR="00230033" w:rsidRPr="002D10CD" w:rsidRDefault="00230033" w:rsidP="00B5194E">
                    <w:pPr>
                      <w:spacing w:after="0" w:line="240" w:lineRule="auto"/>
                      <w:rPr>
                        <w:b/>
                        <w:color w:val="243A76"/>
                        <w:sz w:val="16"/>
                        <w:szCs w:val="16"/>
                      </w:rPr>
                    </w:pPr>
                    <w:r w:rsidRPr="002D10CD">
                      <w:rPr>
                        <w:b/>
                        <w:color w:val="243A76"/>
                        <w:sz w:val="16"/>
                        <w:szCs w:val="16"/>
                      </w:rPr>
                      <w:t>Orlando</w:t>
                    </w:r>
                  </w:p>
                  <w:p w:rsidR="00230033" w:rsidRPr="00C514BB" w:rsidRDefault="00230033" w:rsidP="00B5194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C514BB">
                      <w:rPr>
                        <w:sz w:val="16"/>
                        <w:szCs w:val="16"/>
                      </w:rPr>
                      <w:t>2145 M</w:t>
                    </w:r>
                    <w:r>
                      <w:rPr>
                        <w:sz w:val="16"/>
                        <w:szCs w:val="16"/>
                      </w:rPr>
                      <w:t>etroCenter Blvd., Suite 400</w:t>
                    </w:r>
                  </w:p>
                  <w:p w:rsidR="00230033" w:rsidRPr="00C514BB" w:rsidRDefault="00230033" w:rsidP="00B5194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C514BB">
                      <w:rPr>
                        <w:sz w:val="16"/>
                        <w:szCs w:val="16"/>
                      </w:rPr>
                      <w:t xml:space="preserve">Orlando, FL 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  <w:r w:rsidRPr="00C514BB">
                      <w:rPr>
                        <w:sz w:val="16"/>
                        <w:szCs w:val="16"/>
                      </w:rPr>
                      <w:t>2835-7632</w:t>
                    </w:r>
                  </w:p>
                </w:txbxContent>
              </v:textbox>
            </v:shape>
            <v:shape id="_x0000_s17415" type="#_x0000_t202" style="position:absolute;left:8715;top:14565;width:2265;height:957" filled="f" stroked="f">
              <v:textbox style="mso-next-textbox:#_x0000_s17415">
                <w:txbxContent>
                  <w:p w:rsidR="00230033" w:rsidRDefault="00230033" w:rsidP="00B5194E">
                    <w:pPr>
                      <w:spacing w:after="0"/>
                    </w:pPr>
                  </w:p>
                  <w:p w:rsidR="00230033" w:rsidRPr="00F15276" w:rsidRDefault="00596C03" w:rsidP="00B5194E">
                    <w:pPr>
                      <w:spacing w:after="0"/>
                      <w:rPr>
                        <w:b/>
                        <w:color w:val="1D3F7A"/>
                        <w:sz w:val="16"/>
                        <w:szCs w:val="16"/>
                      </w:rPr>
                    </w:pPr>
                    <w:hyperlink r:id="rId1" w:history="1">
                      <w:r w:rsidR="00230033" w:rsidRPr="00F15276">
                        <w:rPr>
                          <w:rStyle w:val="Hyperlink"/>
                          <w:b/>
                          <w:color w:val="1D3F7A"/>
                          <w:sz w:val="16"/>
                          <w:szCs w:val="16"/>
                        </w:rPr>
                        <w:t>www.EmbanetCompass.com</w:t>
                      </w:r>
                    </w:hyperlink>
                  </w:p>
                  <w:p w:rsidR="00230033" w:rsidRPr="002D10CD" w:rsidRDefault="00230033" w:rsidP="00B5194E">
                    <w:pPr>
                      <w:spacing w:after="0"/>
                      <w:rPr>
                        <w:color w:val="243A76"/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  <w10:wrap type="tight"/>
        </v:group>
      </w:pict>
    </w:r>
  </w:p>
  <w:p w:rsidR="00230033" w:rsidRPr="00AA59A1" w:rsidRDefault="00230033" w:rsidP="00AA59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033" w:rsidRPr="00943E48" w:rsidRDefault="00230033" w:rsidP="001D38B1">
    <w:pPr>
      <w:pStyle w:val="Footer"/>
      <w:pBdr>
        <w:top w:val="single" w:sz="4" w:space="1" w:color="948A54" w:themeColor="background2" w:themeShade="80"/>
      </w:pBdr>
      <w:jc w:val="center"/>
      <w:rPr>
        <w:sz w:val="20"/>
        <w:szCs w:val="20"/>
      </w:rPr>
    </w:pPr>
    <w:r>
      <w:rPr>
        <w:bCs/>
        <w:color w:val="002060"/>
        <w:sz w:val="20"/>
        <w:szCs w:val="20"/>
      </w:rPr>
      <w:t>© 2011</w:t>
    </w:r>
    <w:r w:rsidRPr="00943E48">
      <w:rPr>
        <w:bCs/>
        <w:color w:val="002060"/>
        <w:sz w:val="20"/>
        <w:szCs w:val="20"/>
      </w:rPr>
      <w:t xml:space="preserve"> </w:t>
    </w:r>
    <w:r>
      <w:rPr>
        <w:bCs/>
        <w:color w:val="002060"/>
        <w:sz w:val="20"/>
        <w:szCs w:val="20"/>
      </w:rPr>
      <w:t>Embanet -</w:t>
    </w:r>
    <w:r w:rsidRPr="00943E48">
      <w:rPr>
        <w:bCs/>
        <w:color w:val="002060"/>
        <w:sz w:val="20"/>
        <w:szCs w:val="20"/>
      </w:rPr>
      <w:t>Compass Knowledge Group, LLC</w:t>
    </w:r>
    <w:r w:rsidRPr="00943E48">
      <w:rPr>
        <w:color w:val="002060"/>
        <w:sz w:val="20"/>
        <w:szCs w:val="20"/>
      </w:rPr>
      <w:t>.</w:t>
    </w:r>
  </w:p>
  <w:p w:rsidR="00230033" w:rsidRDefault="002300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E5B" w:rsidRDefault="00486E5B" w:rsidP="00BB0C90">
      <w:pPr>
        <w:spacing w:after="0" w:line="240" w:lineRule="auto"/>
      </w:pPr>
      <w:r>
        <w:separator/>
      </w:r>
    </w:p>
  </w:footnote>
  <w:footnote w:type="continuationSeparator" w:id="0">
    <w:p w:rsidR="00486E5B" w:rsidRDefault="00486E5B" w:rsidP="00BB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B9B"/>
    <w:multiLevelType w:val="hybridMultilevel"/>
    <w:tmpl w:val="3CDC2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F7E8C"/>
    <w:multiLevelType w:val="hybridMultilevel"/>
    <w:tmpl w:val="1CECCD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1C42B3"/>
    <w:multiLevelType w:val="hybridMultilevel"/>
    <w:tmpl w:val="3208AE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6B489B"/>
    <w:multiLevelType w:val="hybridMultilevel"/>
    <w:tmpl w:val="6EC60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97145"/>
    <w:multiLevelType w:val="hybridMultilevel"/>
    <w:tmpl w:val="68249E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620174"/>
    <w:multiLevelType w:val="hybridMultilevel"/>
    <w:tmpl w:val="F6E0B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D6CA1"/>
    <w:multiLevelType w:val="hybridMultilevel"/>
    <w:tmpl w:val="5D9228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7D1A9D"/>
    <w:multiLevelType w:val="hybridMultilevel"/>
    <w:tmpl w:val="59A48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000217"/>
    <w:multiLevelType w:val="hybridMultilevel"/>
    <w:tmpl w:val="AF12FA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B6C58"/>
    <w:multiLevelType w:val="hybridMultilevel"/>
    <w:tmpl w:val="6E923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92354"/>
    <w:multiLevelType w:val="hybridMultilevel"/>
    <w:tmpl w:val="1168FE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6A13A0"/>
    <w:multiLevelType w:val="hybridMultilevel"/>
    <w:tmpl w:val="2D16E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E2F6C"/>
    <w:multiLevelType w:val="hybridMultilevel"/>
    <w:tmpl w:val="11648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A0496F"/>
    <w:multiLevelType w:val="hybridMultilevel"/>
    <w:tmpl w:val="F5FECD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532B73"/>
    <w:multiLevelType w:val="hybridMultilevel"/>
    <w:tmpl w:val="39480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B2C"/>
    <w:multiLevelType w:val="hybridMultilevel"/>
    <w:tmpl w:val="D59C6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196307"/>
    <w:multiLevelType w:val="hybridMultilevel"/>
    <w:tmpl w:val="BF9AF8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491DDB"/>
    <w:multiLevelType w:val="hybridMultilevel"/>
    <w:tmpl w:val="439C4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FA7837"/>
    <w:multiLevelType w:val="hybridMultilevel"/>
    <w:tmpl w:val="66ECF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3741D"/>
    <w:multiLevelType w:val="hybridMultilevel"/>
    <w:tmpl w:val="B4362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6B517B"/>
    <w:multiLevelType w:val="hybridMultilevel"/>
    <w:tmpl w:val="3978F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62278E"/>
    <w:multiLevelType w:val="hybridMultilevel"/>
    <w:tmpl w:val="7AD23C38"/>
    <w:lvl w:ilvl="0" w:tplc="A73427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2053A">
      <w:start w:val="75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24CA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6E1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467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090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2A7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673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C253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F40C8A"/>
    <w:multiLevelType w:val="hybridMultilevel"/>
    <w:tmpl w:val="6E426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3B0E6A"/>
    <w:multiLevelType w:val="hybridMultilevel"/>
    <w:tmpl w:val="665AF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9B396B"/>
    <w:multiLevelType w:val="hybridMultilevel"/>
    <w:tmpl w:val="1FC04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20"/>
  </w:num>
  <w:num w:numId="5">
    <w:abstractNumId w:val="8"/>
  </w:num>
  <w:num w:numId="6">
    <w:abstractNumId w:val="13"/>
  </w:num>
  <w:num w:numId="7">
    <w:abstractNumId w:val="18"/>
  </w:num>
  <w:num w:numId="8">
    <w:abstractNumId w:val="14"/>
  </w:num>
  <w:num w:numId="9">
    <w:abstractNumId w:val="4"/>
  </w:num>
  <w:num w:numId="10">
    <w:abstractNumId w:val="24"/>
  </w:num>
  <w:num w:numId="11">
    <w:abstractNumId w:val="6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11"/>
  </w:num>
  <w:num w:numId="17">
    <w:abstractNumId w:val="3"/>
  </w:num>
  <w:num w:numId="18">
    <w:abstractNumId w:val="10"/>
  </w:num>
  <w:num w:numId="19">
    <w:abstractNumId w:val="16"/>
  </w:num>
  <w:num w:numId="20">
    <w:abstractNumId w:val="12"/>
  </w:num>
  <w:num w:numId="21">
    <w:abstractNumId w:val="23"/>
  </w:num>
  <w:num w:numId="22">
    <w:abstractNumId w:val="22"/>
  </w:num>
  <w:num w:numId="23">
    <w:abstractNumId w:val="15"/>
  </w:num>
  <w:num w:numId="24">
    <w:abstractNumId w:val="19"/>
  </w:num>
  <w:num w:numId="25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1506">
      <o:colormru v:ext="edit" colors="#1d3f7a"/>
    </o:shapedefaults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BB0C90"/>
    <w:rsid w:val="0001239B"/>
    <w:rsid w:val="000143B1"/>
    <w:rsid w:val="00014D6C"/>
    <w:rsid w:val="00015ACB"/>
    <w:rsid w:val="000203EB"/>
    <w:rsid w:val="0002722A"/>
    <w:rsid w:val="00034E2D"/>
    <w:rsid w:val="0004432A"/>
    <w:rsid w:val="0004643D"/>
    <w:rsid w:val="00053EA6"/>
    <w:rsid w:val="00062C54"/>
    <w:rsid w:val="00072EA7"/>
    <w:rsid w:val="0008096A"/>
    <w:rsid w:val="00082093"/>
    <w:rsid w:val="0008432C"/>
    <w:rsid w:val="0009105D"/>
    <w:rsid w:val="00093745"/>
    <w:rsid w:val="000A39FC"/>
    <w:rsid w:val="000B340B"/>
    <w:rsid w:val="000B4AB3"/>
    <w:rsid w:val="000B62C0"/>
    <w:rsid w:val="000C270C"/>
    <w:rsid w:val="000D1451"/>
    <w:rsid w:val="000D4D4D"/>
    <w:rsid w:val="000D52BE"/>
    <w:rsid w:val="000E022C"/>
    <w:rsid w:val="00107CA1"/>
    <w:rsid w:val="00114CD1"/>
    <w:rsid w:val="00121361"/>
    <w:rsid w:val="0012222A"/>
    <w:rsid w:val="00122BC6"/>
    <w:rsid w:val="001269D1"/>
    <w:rsid w:val="00127B6C"/>
    <w:rsid w:val="00132CF7"/>
    <w:rsid w:val="00135F4F"/>
    <w:rsid w:val="001424C6"/>
    <w:rsid w:val="00155298"/>
    <w:rsid w:val="00157DA7"/>
    <w:rsid w:val="00160FB0"/>
    <w:rsid w:val="0017131B"/>
    <w:rsid w:val="0017715E"/>
    <w:rsid w:val="0018580A"/>
    <w:rsid w:val="0019139A"/>
    <w:rsid w:val="001924CC"/>
    <w:rsid w:val="00194360"/>
    <w:rsid w:val="00195620"/>
    <w:rsid w:val="00195F06"/>
    <w:rsid w:val="00196C35"/>
    <w:rsid w:val="001A6201"/>
    <w:rsid w:val="001B0050"/>
    <w:rsid w:val="001B1698"/>
    <w:rsid w:val="001B1825"/>
    <w:rsid w:val="001B1E89"/>
    <w:rsid w:val="001B32EC"/>
    <w:rsid w:val="001B5D5D"/>
    <w:rsid w:val="001C1260"/>
    <w:rsid w:val="001C64C5"/>
    <w:rsid w:val="001D38B1"/>
    <w:rsid w:val="001E24E8"/>
    <w:rsid w:val="001E6746"/>
    <w:rsid w:val="001F2AF9"/>
    <w:rsid w:val="001F2EA4"/>
    <w:rsid w:val="00205054"/>
    <w:rsid w:val="002056A5"/>
    <w:rsid w:val="00207508"/>
    <w:rsid w:val="002157DC"/>
    <w:rsid w:val="002169D2"/>
    <w:rsid w:val="00217828"/>
    <w:rsid w:val="00220E22"/>
    <w:rsid w:val="0022138B"/>
    <w:rsid w:val="0022255E"/>
    <w:rsid w:val="00225F1A"/>
    <w:rsid w:val="00225FAE"/>
    <w:rsid w:val="002263BB"/>
    <w:rsid w:val="0022704B"/>
    <w:rsid w:val="00230033"/>
    <w:rsid w:val="00241203"/>
    <w:rsid w:val="00241DD1"/>
    <w:rsid w:val="00243AF5"/>
    <w:rsid w:val="00243F03"/>
    <w:rsid w:val="00245104"/>
    <w:rsid w:val="00250026"/>
    <w:rsid w:val="00260757"/>
    <w:rsid w:val="00260E14"/>
    <w:rsid w:val="002721BB"/>
    <w:rsid w:val="0027487A"/>
    <w:rsid w:val="00283D62"/>
    <w:rsid w:val="00285ACA"/>
    <w:rsid w:val="00292150"/>
    <w:rsid w:val="00296F64"/>
    <w:rsid w:val="002974F2"/>
    <w:rsid w:val="002A0A2A"/>
    <w:rsid w:val="002A3547"/>
    <w:rsid w:val="002A5812"/>
    <w:rsid w:val="002A7B1E"/>
    <w:rsid w:val="002C4D7F"/>
    <w:rsid w:val="002C50E1"/>
    <w:rsid w:val="002C5D94"/>
    <w:rsid w:val="002D4EC0"/>
    <w:rsid w:val="002D79ED"/>
    <w:rsid w:val="002E125B"/>
    <w:rsid w:val="002E2AB8"/>
    <w:rsid w:val="002E350B"/>
    <w:rsid w:val="002E5377"/>
    <w:rsid w:val="002F41E1"/>
    <w:rsid w:val="002F727A"/>
    <w:rsid w:val="00302B55"/>
    <w:rsid w:val="003225F9"/>
    <w:rsid w:val="00323D94"/>
    <w:rsid w:val="00334AEE"/>
    <w:rsid w:val="00337802"/>
    <w:rsid w:val="00344045"/>
    <w:rsid w:val="00345FD0"/>
    <w:rsid w:val="003524E0"/>
    <w:rsid w:val="00352C24"/>
    <w:rsid w:val="00363B2B"/>
    <w:rsid w:val="00367900"/>
    <w:rsid w:val="00372264"/>
    <w:rsid w:val="0038209D"/>
    <w:rsid w:val="00382B54"/>
    <w:rsid w:val="00383B8B"/>
    <w:rsid w:val="0038689D"/>
    <w:rsid w:val="00387823"/>
    <w:rsid w:val="00390899"/>
    <w:rsid w:val="00390F8B"/>
    <w:rsid w:val="0039310A"/>
    <w:rsid w:val="003A4707"/>
    <w:rsid w:val="003B0349"/>
    <w:rsid w:val="003B0C3B"/>
    <w:rsid w:val="003C4108"/>
    <w:rsid w:val="003C4E3E"/>
    <w:rsid w:val="003D4376"/>
    <w:rsid w:val="003D5833"/>
    <w:rsid w:val="003D5BC7"/>
    <w:rsid w:val="003D60E8"/>
    <w:rsid w:val="003E0BB8"/>
    <w:rsid w:val="003E0C73"/>
    <w:rsid w:val="003E6814"/>
    <w:rsid w:val="003F0248"/>
    <w:rsid w:val="003F2B67"/>
    <w:rsid w:val="004114CB"/>
    <w:rsid w:val="0041428E"/>
    <w:rsid w:val="00423D8D"/>
    <w:rsid w:val="004250DB"/>
    <w:rsid w:val="00430BF7"/>
    <w:rsid w:val="0043394C"/>
    <w:rsid w:val="004459D5"/>
    <w:rsid w:val="00451CD3"/>
    <w:rsid w:val="004643D0"/>
    <w:rsid w:val="00464DA0"/>
    <w:rsid w:val="00474EFE"/>
    <w:rsid w:val="00475824"/>
    <w:rsid w:val="0047618C"/>
    <w:rsid w:val="00477B95"/>
    <w:rsid w:val="0048142D"/>
    <w:rsid w:val="0048162E"/>
    <w:rsid w:val="00482F96"/>
    <w:rsid w:val="00484402"/>
    <w:rsid w:val="004844B2"/>
    <w:rsid w:val="00486B07"/>
    <w:rsid w:val="00486CAB"/>
    <w:rsid w:val="00486E5B"/>
    <w:rsid w:val="004907F3"/>
    <w:rsid w:val="004914EA"/>
    <w:rsid w:val="0049169D"/>
    <w:rsid w:val="00491930"/>
    <w:rsid w:val="004B223A"/>
    <w:rsid w:val="004B668D"/>
    <w:rsid w:val="004B7CD2"/>
    <w:rsid w:val="004C1F9A"/>
    <w:rsid w:val="004D1267"/>
    <w:rsid w:val="004D245F"/>
    <w:rsid w:val="004D53CD"/>
    <w:rsid w:val="004D576C"/>
    <w:rsid w:val="004E1376"/>
    <w:rsid w:val="004E37E1"/>
    <w:rsid w:val="004E697A"/>
    <w:rsid w:val="004E6FDB"/>
    <w:rsid w:val="004F076D"/>
    <w:rsid w:val="004F59F4"/>
    <w:rsid w:val="00500849"/>
    <w:rsid w:val="005017F0"/>
    <w:rsid w:val="005042D2"/>
    <w:rsid w:val="00504CDC"/>
    <w:rsid w:val="00510820"/>
    <w:rsid w:val="00515344"/>
    <w:rsid w:val="00517768"/>
    <w:rsid w:val="0053214E"/>
    <w:rsid w:val="00535ADE"/>
    <w:rsid w:val="00553DD7"/>
    <w:rsid w:val="00553FB4"/>
    <w:rsid w:val="00557FB9"/>
    <w:rsid w:val="00560953"/>
    <w:rsid w:val="00562A07"/>
    <w:rsid w:val="00563CA0"/>
    <w:rsid w:val="00564368"/>
    <w:rsid w:val="00567234"/>
    <w:rsid w:val="005675EE"/>
    <w:rsid w:val="00573A17"/>
    <w:rsid w:val="00573F75"/>
    <w:rsid w:val="00580B74"/>
    <w:rsid w:val="005834B2"/>
    <w:rsid w:val="00590496"/>
    <w:rsid w:val="00594515"/>
    <w:rsid w:val="005963C7"/>
    <w:rsid w:val="00596C03"/>
    <w:rsid w:val="005A2C5F"/>
    <w:rsid w:val="005A7FCE"/>
    <w:rsid w:val="005B0634"/>
    <w:rsid w:val="005B0E0B"/>
    <w:rsid w:val="005B4672"/>
    <w:rsid w:val="005B4D90"/>
    <w:rsid w:val="005B7522"/>
    <w:rsid w:val="005C13EC"/>
    <w:rsid w:val="005C5234"/>
    <w:rsid w:val="005C53DA"/>
    <w:rsid w:val="005D1B31"/>
    <w:rsid w:val="005D7395"/>
    <w:rsid w:val="005E4837"/>
    <w:rsid w:val="005F6B19"/>
    <w:rsid w:val="005F7F99"/>
    <w:rsid w:val="00604AEA"/>
    <w:rsid w:val="0062012E"/>
    <w:rsid w:val="00625020"/>
    <w:rsid w:val="00632D61"/>
    <w:rsid w:val="006370B2"/>
    <w:rsid w:val="00637EBA"/>
    <w:rsid w:val="00641DC3"/>
    <w:rsid w:val="0065388B"/>
    <w:rsid w:val="00653BDE"/>
    <w:rsid w:val="006570CD"/>
    <w:rsid w:val="0065788F"/>
    <w:rsid w:val="00661FC7"/>
    <w:rsid w:val="00663032"/>
    <w:rsid w:val="00664C5A"/>
    <w:rsid w:val="006845C6"/>
    <w:rsid w:val="00687ADA"/>
    <w:rsid w:val="006A0F88"/>
    <w:rsid w:val="006A3E71"/>
    <w:rsid w:val="006B5BF3"/>
    <w:rsid w:val="006B7035"/>
    <w:rsid w:val="006C47CF"/>
    <w:rsid w:val="006C582E"/>
    <w:rsid w:val="006D758C"/>
    <w:rsid w:val="006E290F"/>
    <w:rsid w:val="006F1888"/>
    <w:rsid w:val="006F5391"/>
    <w:rsid w:val="0070267B"/>
    <w:rsid w:val="00706656"/>
    <w:rsid w:val="00707862"/>
    <w:rsid w:val="00714B15"/>
    <w:rsid w:val="0072083A"/>
    <w:rsid w:val="0072789F"/>
    <w:rsid w:val="00730058"/>
    <w:rsid w:val="0073089A"/>
    <w:rsid w:val="00731823"/>
    <w:rsid w:val="007376E0"/>
    <w:rsid w:val="0074520A"/>
    <w:rsid w:val="007470F0"/>
    <w:rsid w:val="007507F4"/>
    <w:rsid w:val="00753412"/>
    <w:rsid w:val="00753723"/>
    <w:rsid w:val="007566C8"/>
    <w:rsid w:val="00756E9C"/>
    <w:rsid w:val="00764D90"/>
    <w:rsid w:val="0077741A"/>
    <w:rsid w:val="0078274D"/>
    <w:rsid w:val="00784ED0"/>
    <w:rsid w:val="00791257"/>
    <w:rsid w:val="00791269"/>
    <w:rsid w:val="007A243C"/>
    <w:rsid w:val="007A7435"/>
    <w:rsid w:val="007B2E22"/>
    <w:rsid w:val="007B38D3"/>
    <w:rsid w:val="007B6445"/>
    <w:rsid w:val="007B646B"/>
    <w:rsid w:val="007C0600"/>
    <w:rsid w:val="007C4B97"/>
    <w:rsid w:val="007D2FE2"/>
    <w:rsid w:val="007E0405"/>
    <w:rsid w:val="007E47B0"/>
    <w:rsid w:val="007F4F50"/>
    <w:rsid w:val="007F639A"/>
    <w:rsid w:val="007F71B2"/>
    <w:rsid w:val="008103B0"/>
    <w:rsid w:val="0081316A"/>
    <w:rsid w:val="00822A8A"/>
    <w:rsid w:val="00822B64"/>
    <w:rsid w:val="008231AB"/>
    <w:rsid w:val="008269F9"/>
    <w:rsid w:val="008310FF"/>
    <w:rsid w:val="008312CF"/>
    <w:rsid w:val="008326B4"/>
    <w:rsid w:val="008329A3"/>
    <w:rsid w:val="00832D39"/>
    <w:rsid w:val="00833D1C"/>
    <w:rsid w:val="00834CF0"/>
    <w:rsid w:val="00836CBF"/>
    <w:rsid w:val="00845CD2"/>
    <w:rsid w:val="00847DC2"/>
    <w:rsid w:val="00851D26"/>
    <w:rsid w:val="0085530A"/>
    <w:rsid w:val="00861CEC"/>
    <w:rsid w:val="00865397"/>
    <w:rsid w:val="00865502"/>
    <w:rsid w:val="00873E80"/>
    <w:rsid w:val="0088209A"/>
    <w:rsid w:val="00890A03"/>
    <w:rsid w:val="00893D00"/>
    <w:rsid w:val="00894DE1"/>
    <w:rsid w:val="008A2A22"/>
    <w:rsid w:val="008A4EFB"/>
    <w:rsid w:val="008B007C"/>
    <w:rsid w:val="008B0192"/>
    <w:rsid w:val="008B040A"/>
    <w:rsid w:val="008C1722"/>
    <w:rsid w:val="008C4452"/>
    <w:rsid w:val="008C5DA9"/>
    <w:rsid w:val="008C633E"/>
    <w:rsid w:val="008D4AED"/>
    <w:rsid w:val="008D4AEF"/>
    <w:rsid w:val="008D5077"/>
    <w:rsid w:val="008F5543"/>
    <w:rsid w:val="0090453A"/>
    <w:rsid w:val="009049DA"/>
    <w:rsid w:val="00906AC1"/>
    <w:rsid w:val="0091090F"/>
    <w:rsid w:val="009125CF"/>
    <w:rsid w:val="009311F9"/>
    <w:rsid w:val="00934204"/>
    <w:rsid w:val="00936A40"/>
    <w:rsid w:val="0094420A"/>
    <w:rsid w:val="009468F8"/>
    <w:rsid w:val="00954219"/>
    <w:rsid w:val="00961A84"/>
    <w:rsid w:val="009626E2"/>
    <w:rsid w:val="00962E00"/>
    <w:rsid w:val="009646B0"/>
    <w:rsid w:val="00965FBC"/>
    <w:rsid w:val="00974C42"/>
    <w:rsid w:val="0097703E"/>
    <w:rsid w:val="009779B7"/>
    <w:rsid w:val="0098263B"/>
    <w:rsid w:val="00991419"/>
    <w:rsid w:val="00991BE3"/>
    <w:rsid w:val="00994156"/>
    <w:rsid w:val="009A4DFF"/>
    <w:rsid w:val="009A6DA3"/>
    <w:rsid w:val="009B24F6"/>
    <w:rsid w:val="009B2A31"/>
    <w:rsid w:val="009B47D2"/>
    <w:rsid w:val="009B5056"/>
    <w:rsid w:val="009D13C3"/>
    <w:rsid w:val="009D3867"/>
    <w:rsid w:val="009D757F"/>
    <w:rsid w:val="009E0376"/>
    <w:rsid w:val="009E0F6F"/>
    <w:rsid w:val="009E142A"/>
    <w:rsid w:val="009E29C9"/>
    <w:rsid w:val="009E432F"/>
    <w:rsid w:val="009E7B32"/>
    <w:rsid w:val="009F29E4"/>
    <w:rsid w:val="009F5E2C"/>
    <w:rsid w:val="00A00B4F"/>
    <w:rsid w:val="00A1409B"/>
    <w:rsid w:val="00A155FC"/>
    <w:rsid w:val="00A2223E"/>
    <w:rsid w:val="00A2757B"/>
    <w:rsid w:val="00A27BBE"/>
    <w:rsid w:val="00A32C3C"/>
    <w:rsid w:val="00A371BB"/>
    <w:rsid w:val="00A37354"/>
    <w:rsid w:val="00A41F36"/>
    <w:rsid w:val="00A5593D"/>
    <w:rsid w:val="00A60BE2"/>
    <w:rsid w:val="00A624AE"/>
    <w:rsid w:val="00A634CE"/>
    <w:rsid w:val="00A63C14"/>
    <w:rsid w:val="00A7101B"/>
    <w:rsid w:val="00A71A3C"/>
    <w:rsid w:val="00A731A4"/>
    <w:rsid w:val="00A7716C"/>
    <w:rsid w:val="00A83F78"/>
    <w:rsid w:val="00A8444B"/>
    <w:rsid w:val="00A91293"/>
    <w:rsid w:val="00A94345"/>
    <w:rsid w:val="00A946FF"/>
    <w:rsid w:val="00AA0A85"/>
    <w:rsid w:val="00AA1068"/>
    <w:rsid w:val="00AA59A1"/>
    <w:rsid w:val="00AB1377"/>
    <w:rsid w:val="00AB37B4"/>
    <w:rsid w:val="00AB43E7"/>
    <w:rsid w:val="00AC4271"/>
    <w:rsid w:val="00AC63C8"/>
    <w:rsid w:val="00AD13D5"/>
    <w:rsid w:val="00AD23EF"/>
    <w:rsid w:val="00AE0204"/>
    <w:rsid w:val="00AE0C4E"/>
    <w:rsid w:val="00AE536D"/>
    <w:rsid w:val="00AF2F69"/>
    <w:rsid w:val="00AF3ECE"/>
    <w:rsid w:val="00AF5AFD"/>
    <w:rsid w:val="00B0391B"/>
    <w:rsid w:val="00B05882"/>
    <w:rsid w:val="00B13572"/>
    <w:rsid w:val="00B13B29"/>
    <w:rsid w:val="00B14D29"/>
    <w:rsid w:val="00B15E9D"/>
    <w:rsid w:val="00B237E8"/>
    <w:rsid w:val="00B26E4F"/>
    <w:rsid w:val="00B347B5"/>
    <w:rsid w:val="00B35795"/>
    <w:rsid w:val="00B42E2D"/>
    <w:rsid w:val="00B514F4"/>
    <w:rsid w:val="00B5194E"/>
    <w:rsid w:val="00B542D4"/>
    <w:rsid w:val="00B623A9"/>
    <w:rsid w:val="00B64BAE"/>
    <w:rsid w:val="00B72B81"/>
    <w:rsid w:val="00B80FF0"/>
    <w:rsid w:val="00B81277"/>
    <w:rsid w:val="00B82E39"/>
    <w:rsid w:val="00B910FC"/>
    <w:rsid w:val="00B9213D"/>
    <w:rsid w:val="00B93CE6"/>
    <w:rsid w:val="00B9542B"/>
    <w:rsid w:val="00B95D8B"/>
    <w:rsid w:val="00B9749F"/>
    <w:rsid w:val="00BA212C"/>
    <w:rsid w:val="00BA7F22"/>
    <w:rsid w:val="00BB0C90"/>
    <w:rsid w:val="00BB634E"/>
    <w:rsid w:val="00BC3334"/>
    <w:rsid w:val="00BD7051"/>
    <w:rsid w:val="00BE0B10"/>
    <w:rsid w:val="00BE1C95"/>
    <w:rsid w:val="00BF630F"/>
    <w:rsid w:val="00C015F0"/>
    <w:rsid w:val="00C0220C"/>
    <w:rsid w:val="00C057CF"/>
    <w:rsid w:val="00C30B4D"/>
    <w:rsid w:val="00C35B6F"/>
    <w:rsid w:val="00C40C6C"/>
    <w:rsid w:val="00C46A31"/>
    <w:rsid w:val="00C50EAE"/>
    <w:rsid w:val="00C61113"/>
    <w:rsid w:val="00C63060"/>
    <w:rsid w:val="00C67792"/>
    <w:rsid w:val="00C712E9"/>
    <w:rsid w:val="00C8694A"/>
    <w:rsid w:val="00C90460"/>
    <w:rsid w:val="00C91DA2"/>
    <w:rsid w:val="00C9321D"/>
    <w:rsid w:val="00C95403"/>
    <w:rsid w:val="00C96F47"/>
    <w:rsid w:val="00C971E4"/>
    <w:rsid w:val="00CB4EB7"/>
    <w:rsid w:val="00CB5AE4"/>
    <w:rsid w:val="00CC4692"/>
    <w:rsid w:val="00CD3925"/>
    <w:rsid w:val="00CE3B9A"/>
    <w:rsid w:val="00CE67AF"/>
    <w:rsid w:val="00CF4C57"/>
    <w:rsid w:val="00D03E47"/>
    <w:rsid w:val="00D051DE"/>
    <w:rsid w:val="00D06390"/>
    <w:rsid w:val="00D120DD"/>
    <w:rsid w:val="00D2323B"/>
    <w:rsid w:val="00D27C8C"/>
    <w:rsid w:val="00D37C35"/>
    <w:rsid w:val="00D41C14"/>
    <w:rsid w:val="00D505F2"/>
    <w:rsid w:val="00D517FD"/>
    <w:rsid w:val="00D51DD7"/>
    <w:rsid w:val="00D52EB9"/>
    <w:rsid w:val="00D6211A"/>
    <w:rsid w:val="00D622E6"/>
    <w:rsid w:val="00D63A63"/>
    <w:rsid w:val="00D64852"/>
    <w:rsid w:val="00D6638C"/>
    <w:rsid w:val="00D703D9"/>
    <w:rsid w:val="00D77036"/>
    <w:rsid w:val="00D83D0F"/>
    <w:rsid w:val="00D97FEE"/>
    <w:rsid w:val="00DA04EC"/>
    <w:rsid w:val="00DB2CFB"/>
    <w:rsid w:val="00DB3435"/>
    <w:rsid w:val="00DB3CA9"/>
    <w:rsid w:val="00DC2A1A"/>
    <w:rsid w:val="00DC4023"/>
    <w:rsid w:val="00DC5458"/>
    <w:rsid w:val="00DC64C9"/>
    <w:rsid w:val="00DD268F"/>
    <w:rsid w:val="00DD5B5A"/>
    <w:rsid w:val="00DD76A4"/>
    <w:rsid w:val="00DD7E21"/>
    <w:rsid w:val="00DE0458"/>
    <w:rsid w:val="00DE558D"/>
    <w:rsid w:val="00DE58CC"/>
    <w:rsid w:val="00DE7308"/>
    <w:rsid w:val="00DF138D"/>
    <w:rsid w:val="00E0532C"/>
    <w:rsid w:val="00E07E81"/>
    <w:rsid w:val="00E13875"/>
    <w:rsid w:val="00E16D21"/>
    <w:rsid w:val="00E23118"/>
    <w:rsid w:val="00E23173"/>
    <w:rsid w:val="00E36442"/>
    <w:rsid w:val="00E40D3D"/>
    <w:rsid w:val="00E4303E"/>
    <w:rsid w:val="00E46358"/>
    <w:rsid w:val="00E46414"/>
    <w:rsid w:val="00E4697B"/>
    <w:rsid w:val="00E47D9D"/>
    <w:rsid w:val="00E55722"/>
    <w:rsid w:val="00E55880"/>
    <w:rsid w:val="00E55A45"/>
    <w:rsid w:val="00E56ECC"/>
    <w:rsid w:val="00E66DB1"/>
    <w:rsid w:val="00E70B16"/>
    <w:rsid w:val="00E74534"/>
    <w:rsid w:val="00E820A3"/>
    <w:rsid w:val="00E836F3"/>
    <w:rsid w:val="00E85A0D"/>
    <w:rsid w:val="00E95E02"/>
    <w:rsid w:val="00E96613"/>
    <w:rsid w:val="00EA0515"/>
    <w:rsid w:val="00EB0C5A"/>
    <w:rsid w:val="00EB117C"/>
    <w:rsid w:val="00EB536F"/>
    <w:rsid w:val="00EC14F5"/>
    <w:rsid w:val="00EC38D1"/>
    <w:rsid w:val="00ED2EB8"/>
    <w:rsid w:val="00ED53AB"/>
    <w:rsid w:val="00EE79CD"/>
    <w:rsid w:val="00EF131E"/>
    <w:rsid w:val="00EF31F4"/>
    <w:rsid w:val="00EF7C07"/>
    <w:rsid w:val="00F10300"/>
    <w:rsid w:val="00F2093D"/>
    <w:rsid w:val="00F213EF"/>
    <w:rsid w:val="00F21A9A"/>
    <w:rsid w:val="00F37087"/>
    <w:rsid w:val="00F371F6"/>
    <w:rsid w:val="00F54C7A"/>
    <w:rsid w:val="00F56D23"/>
    <w:rsid w:val="00F57E3E"/>
    <w:rsid w:val="00F66322"/>
    <w:rsid w:val="00F71354"/>
    <w:rsid w:val="00F72A59"/>
    <w:rsid w:val="00F75FE5"/>
    <w:rsid w:val="00F77ACC"/>
    <w:rsid w:val="00F80E3F"/>
    <w:rsid w:val="00F94875"/>
    <w:rsid w:val="00F96514"/>
    <w:rsid w:val="00F9729B"/>
    <w:rsid w:val="00FB31D9"/>
    <w:rsid w:val="00FC2C0C"/>
    <w:rsid w:val="00FC3577"/>
    <w:rsid w:val="00FC59F0"/>
    <w:rsid w:val="00FC7F8A"/>
    <w:rsid w:val="00FD2AAF"/>
    <w:rsid w:val="00FD308F"/>
    <w:rsid w:val="00FD3F6C"/>
    <w:rsid w:val="00FD5826"/>
    <w:rsid w:val="00FD745A"/>
    <w:rsid w:val="00FF08A0"/>
    <w:rsid w:val="00FF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ru v:ext="edit" colors="#1d3f7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B9"/>
  </w:style>
  <w:style w:type="paragraph" w:styleId="Heading1">
    <w:name w:val="heading 1"/>
    <w:aliases w:val="AA Cover Title"/>
    <w:basedOn w:val="Normal"/>
    <w:next w:val="Normal"/>
    <w:link w:val="Heading1Char"/>
    <w:uiPriority w:val="9"/>
    <w:qFormat/>
    <w:rsid w:val="00015ACB"/>
    <w:pPr>
      <w:jc w:val="center"/>
      <w:outlineLvl w:val="0"/>
    </w:pPr>
    <w:rPr>
      <w:rFonts w:ascii="Cambria" w:eastAsia="Calibri" w:hAnsi="Cambria" w:cs="Times New Roman"/>
      <w:color w:val="1D3F7A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0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C90"/>
  </w:style>
  <w:style w:type="paragraph" w:styleId="Footer">
    <w:name w:val="footer"/>
    <w:basedOn w:val="Normal"/>
    <w:link w:val="FooterChar"/>
    <w:uiPriority w:val="99"/>
    <w:unhideWhenUsed/>
    <w:rsid w:val="00BB0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C90"/>
  </w:style>
  <w:style w:type="paragraph" w:customStyle="1" w:styleId="ABFooter">
    <w:name w:val="AB Footer"/>
    <w:basedOn w:val="Normal"/>
    <w:link w:val="ABFooterChar"/>
    <w:qFormat/>
    <w:rsid w:val="00BB0C90"/>
    <w:pPr>
      <w:pBdr>
        <w:top w:val="single" w:sz="8" w:space="1" w:color="948A54"/>
      </w:pBdr>
      <w:spacing w:after="0"/>
      <w:jc w:val="both"/>
    </w:pPr>
    <w:rPr>
      <w:rFonts w:ascii="Cambria" w:eastAsia="Calibri" w:hAnsi="Cambria" w:cs="Times New Roman"/>
      <w:caps/>
      <w:sz w:val="16"/>
    </w:rPr>
  </w:style>
  <w:style w:type="character" w:customStyle="1" w:styleId="ABFooterChar">
    <w:name w:val="AB Footer Char"/>
    <w:basedOn w:val="DefaultParagraphFont"/>
    <w:link w:val="ABFooter"/>
    <w:rsid w:val="00BB0C90"/>
    <w:rPr>
      <w:rFonts w:ascii="Cambria" w:eastAsia="Calibri" w:hAnsi="Cambria" w:cs="Times New Roman"/>
      <w:caps/>
      <w:sz w:val="16"/>
    </w:rPr>
  </w:style>
  <w:style w:type="table" w:styleId="TableGrid">
    <w:name w:val="Table Grid"/>
    <w:basedOn w:val="TableNormal"/>
    <w:uiPriority w:val="59"/>
    <w:rsid w:val="00BB0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2E00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A27BBE"/>
    <w:rPr>
      <w:b/>
      <w:bCs/>
      <w:smallCaps/>
      <w:spacing w:val="5"/>
    </w:rPr>
  </w:style>
  <w:style w:type="paragraph" w:customStyle="1" w:styleId="AGSurveyTitles">
    <w:name w:val="AG Survey Titles"/>
    <w:basedOn w:val="Normal"/>
    <w:qFormat/>
    <w:rsid w:val="001C1260"/>
    <w:pPr>
      <w:tabs>
        <w:tab w:val="left" w:pos="4050"/>
      </w:tabs>
      <w:spacing w:before="6"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paragraph" w:styleId="Caption">
    <w:name w:val="caption"/>
    <w:aliases w:val="ACD TOF Captions"/>
    <w:basedOn w:val="Normal"/>
    <w:next w:val="Normal"/>
    <w:uiPriority w:val="35"/>
    <w:qFormat/>
    <w:rsid w:val="00B9749F"/>
    <w:pPr>
      <w:keepNext/>
      <w:spacing w:after="0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paragraph" w:customStyle="1" w:styleId="ACBody">
    <w:name w:val="AC Body"/>
    <w:basedOn w:val="Normal"/>
    <w:link w:val="ACBodyChar"/>
    <w:qFormat/>
    <w:rsid w:val="00A00B4F"/>
    <w:pPr>
      <w:jc w:val="both"/>
    </w:pPr>
    <w:rPr>
      <w:rFonts w:ascii="Calibri" w:eastAsia="Calibri" w:hAnsi="Calibri" w:cs="Times New Roman"/>
    </w:rPr>
  </w:style>
  <w:style w:type="character" w:customStyle="1" w:styleId="ACBodyChar">
    <w:name w:val="AC Body Char"/>
    <w:basedOn w:val="DefaultParagraphFont"/>
    <w:link w:val="ACBody"/>
    <w:rsid w:val="00A00B4F"/>
    <w:rPr>
      <w:rFonts w:ascii="Calibri" w:eastAsia="Calibri" w:hAnsi="Calibri" w:cs="Times New Roman"/>
    </w:rPr>
  </w:style>
  <w:style w:type="paragraph" w:customStyle="1" w:styleId="AETableNotationTop">
    <w:name w:val="AE Table Notation Top"/>
    <w:basedOn w:val="Normal"/>
    <w:link w:val="AETableNotationTopChar"/>
    <w:qFormat/>
    <w:rsid w:val="005C5234"/>
    <w:pPr>
      <w:spacing w:after="0"/>
      <w:jc w:val="center"/>
    </w:pPr>
    <w:rPr>
      <w:rFonts w:ascii="Calibri" w:eastAsia="Calibri" w:hAnsi="Calibri" w:cs="Times New Roman"/>
      <w:i/>
      <w:sz w:val="18"/>
    </w:rPr>
  </w:style>
  <w:style w:type="character" w:customStyle="1" w:styleId="AETableNotationTopChar">
    <w:name w:val="AE Table Notation Top Char"/>
    <w:basedOn w:val="DefaultParagraphFont"/>
    <w:link w:val="AETableNotationTop"/>
    <w:rsid w:val="005C5234"/>
    <w:rPr>
      <w:rFonts w:ascii="Calibri" w:eastAsia="Calibri" w:hAnsi="Calibri" w:cs="Times New Roman"/>
      <w:i/>
      <w:sz w:val="18"/>
    </w:rPr>
  </w:style>
  <w:style w:type="paragraph" w:customStyle="1" w:styleId="ACDBodyBoldNotJustified">
    <w:name w:val="ACD Body Bold Not Justified"/>
    <w:basedOn w:val="Normal"/>
    <w:link w:val="ACDBodyBoldNotJustifiedChar"/>
    <w:qFormat/>
    <w:rsid w:val="00B42E2D"/>
    <w:pPr>
      <w:spacing w:after="0"/>
    </w:pPr>
    <w:rPr>
      <w:rFonts w:ascii="Calibri" w:eastAsia="Calibri" w:hAnsi="Calibri" w:cs="Times New Roman"/>
      <w:b/>
    </w:rPr>
  </w:style>
  <w:style w:type="character" w:customStyle="1" w:styleId="ACDBodyBoldNotJustifiedChar">
    <w:name w:val="ACD Body Bold Not Justified Char"/>
    <w:basedOn w:val="DefaultParagraphFont"/>
    <w:link w:val="ACDBodyBoldNotJustified"/>
    <w:rsid w:val="00B42E2D"/>
    <w:rPr>
      <w:rFonts w:ascii="Calibri" w:eastAsia="Calibri" w:hAnsi="Calibri" w:cs="Times New Roman"/>
      <w:b/>
    </w:rPr>
  </w:style>
  <w:style w:type="paragraph" w:customStyle="1" w:styleId="ACBodyBlue">
    <w:name w:val="AC Body Blue"/>
    <w:basedOn w:val="Normal"/>
    <w:link w:val="ACBodyBlueChar"/>
    <w:qFormat/>
    <w:rsid w:val="006F5391"/>
    <w:pPr>
      <w:spacing w:after="0"/>
    </w:pPr>
    <w:rPr>
      <w:rFonts w:ascii="Calibri" w:eastAsia="Calibri" w:hAnsi="Calibri" w:cs="Times New Roman"/>
      <w:b/>
      <w:color w:val="365F91"/>
    </w:rPr>
  </w:style>
  <w:style w:type="character" w:customStyle="1" w:styleId="ACBodyBlueChar">
    <w:name w:val="AC Body Blue Char"/>
    <w:basedOn w:val="DefaultParagraphFont"/>
    <w:link w:val="ACBodyBlue"/>
    <w:rsid w:val="006F5391"/>
    <w:rPr>
      <w:rFonts w:ascii="Calibri" w:eastAsia="Calibri" w:hAnsi="Calibri" w:cs="Times New Roman"/>
      <w:b/>
      <w:color w:val="365F91"/>
    </w:rPr>
  </w:style>
  <w:style w:type="paragraph" w:customStyle="1" w:styleId="AETableNotationUnder">
    <w:name w:val="AE Table Notation Under"/>
    <w:basedOn w:val="Normal"/>
    <w:link w:val="AETableNotationUnderChar"/>
    <w:qFormat/>
    <w:rsid w:val="00510820"/>
    <w:pPr>
      <w:jc w:val="both"/>
    </w:pPr>
    <w:rPr>
      <w:rFonts w:ascii="Calibri" w:eastAsia="Calibri" w:hAnsi="Calibri" w:cs="Times New Roman"/>
      <w:i/>
      <w:sz w:val="16"/>
    </w:rPr>
  </w:style>
  <w:style w:type="character" w:customStyle="1" w:styleId="AETableNotationUnderChar">
    <w:name w:val="AE Table Notation Under Char"/>
    <w:basedOn w:val="DefaultParagraphFont"/>
    <w:link w:val="AETableNotationUnder"/>
    <w:rsid w:val="00510820"/>
    <w:rPr>
      <w:rFonts w:ascii="Calibri" w:eastAsia="Calibri" w:hAnsi="Calibri" w:cs="Times New Roman"/>
      <w:i/>
      <w:sz w:val="16"/>
    </w:rPr>
  </w:style>
  <w:style w:type="paragraph" w:customStyle="1" w:styleId="ACBodyBold">
    <w:name w:val="AC Body Bold"/>
    <w:basedOn w:val="Normal"/>
    <w:link w:val="ACBodyBoldChar"/>
    <w:qFormat/>
    <w:rsid w:val="00510820"/>
    <w:pPr>
      <w:jc w:val="both"/>
    </w:pPr>
    <w:rPr>
      <w:rFonts w:ascii="Calibri" w:eastAsia="Calibri" w:hAnsi="Calibri" w:cs="Times New Roman"/>
      <w:b/>
    </w:rPr>
  </w:style>
  <w:style w:type="character" w:customStyle="1" w:styleId="ACBodyBoldChar">
    <w:name w:val="AC Body Bold Char"/>
    <w:basedOn w:val="DefaultParagraphFont"/>
    <w:link w:val="ACBodyBold"/>
    <w:rsid w:val="00510820"/>
    <w:rPr>
      <w:rFonts w:ascii="Calibri" w:eastAsia="Calibri" w:hAnsi="Calibri" w:cs="Times New Roman"/>
      <w:b/>
    </w:rPr>
  </w:style>
  <w:style w:type="paragraph" w:customStyle="1" w:styleId="ACDBodynotJustified">
    <w:name w:val="ACD Body not Justified"/>
    <w:basedOn w:val="Normal"/>
    <w:qFormat/>
    <w:rsid w:val="0051082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310A"/>
    <w:pPr>
      <w:ind w:left="720"/>
      <w:contextualSpacing/>
    </w:pPr>
  </w:style>
  <w:style w:type="paragraph" w:customStyle="1" w:styleId="DeckCoverTitle">
    <w:name w:val="Deck Cover Title"/>
    <w:basedOn w:val="Normal"/>
    <w:next w:val="Normal"/>
    <w:rsid w:val="00486CAB"/>
    <w:pPr>
      <w:spacing w:after="0" w:line="240" w:lineRule="auto"/>
      <w:jc w:val="right"/>
    </w:pPr>
    <w:rPr>
      <w:rFonts w:ascii="Arial" w:eastAsia="Times New Roman" w:hAnsi="Arial" w:cs="Times New Roman"/>
      <w:b/>
      <w:color w:val="0D1F61"/>
      <w:sz w:val="48"/>
      <w:szCs w:val="24"/>
    </w:rPr>
  </w:style>
  <w:style w:type="paragraph" w:customStyle="1" w:styleId="DeckCoverSubtitle">
    <w:name w:val="Deck Cover Subtitle"/>
    <w:basedOn w:val="Normal"/>
    <w:next w:val="DeckCoverDate"/>
    <w:rsid w:val="00B64BAE"/>
    <w:pPr>
      <w:pBdr>
        <w:top w:val="single" w:sz="12" w:space="1" w:color="0D1F61"/>
        <w:bottom w:val="single" w:sz="12" w:space="1" w:color="0D1F61"/>
      </w:pBdr>
      <w:spacing w:after="0" w:line="240" w:lineRule="auto"/>
      <w:jc w:val="right"/>
    </w:pPr>
    <w:rPr>
      <w:rFonts w:ascii="Arial" w:eastAsia="Times New Roman" w:hAnsi="Arial" w:cs="Times New Roman"/>
      <w:b/>
      <w:color w:val="0D1F61"/>
      <w:sz w:val="36"/>
      <w:szCs w:val="24"/>
    </w:rPr>
  </w:style>
  <w:style w:type="paragraph" w:customStyle="1" w:styleId="DeckCoverDate">
    <w:name w:val="Deck Cover Date"/>
    <w:basedOn w:val="DeckCoverSubtitle"/>
    <w:rsid w:val="00B64BAE"/>
    <w:pPr>
      <w:pBdr>
        <w:top w:val="none" w:sz="0" w:space="0" w:color="auto"/>
        <w:bottom w:val="none" w:sz="0" w:space="0" w:color="auto"/>
      </w:pBdr>
    </w:pPr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7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0CD"/>
    <w:rPr>
      <w:b/>
      <w:bCs/>
    </w:rPr>
  </w:style>
  <w:style w:type="character" w:customStyle="1" w:styleId="Heading1Char">
    <w:name w:val="Heading 1 Char"/>
    <w:aliases w:val="AA Cover Title Char"/>
    <w:basedOn w:val="DefaultParagraphFont"/>
    <w:link w:val="Heading1"/>
    <w:uiPriority w:val="9"/>
    <w:rsid w:val="00015ACB"/>
    <w:rPr>
      <w:rFonts w:ascii="Cambria" w:eastAsia="Calibri" w:hAnsi="Cambria" w:cs="Times New Roman"/>
      <w:color w:val="1D3F7A"/>
      <w:sz w:val="72"/>
      <w:szCs w:val="72"/>
    </w:rPr>
  </w:style>
  <w:style w:type="paragraph" w:customStyle="1" w:styleId="ABCoverSubtitle">
    <w:name w:val="AB Cover Subtitle"/>
    <w:basedOn w:val="Normal"/>
    <w:link w:val="ABCoverSubtitleChar"/>
    <w:qFormat/>
    <w:rsid w:val="00015ACB"/>
    <w:pPr>
      <w:spacing w:after="0" w:line="240" w:lineRule="auto"/>
      <w:jc w:val="center"/>
    </w:pPr>
    <w:rPr>
      <w:rFonts w:ascii="Cambria" w:eastAsia="Calibri" w:hAnsi="Cambria" w:cs="Times New Roman"/>
      <w:color w:val="95740E"/>
      <w:sz w:val="48"/>
      <w:szCs w:val="48"/>
    </w:rPr>
  </w:style>
  <w:style w:type="character" w:customStyle="1" w:styleId="ABCoverSubtitleChar">
    <w:name w:val="AB Cover Subtitle Char"/>
    <w:basedOn w:val="DefaultParagraphFont"/>
    <w:link w:val="ABCoverSubtitle"/>
    <w:rsid w:val="00015ACB"/>
    <w:rPr>
      <w:rFonts w:ascii="Cambria" w:eastAsia="Calibri" w:hAnsi="Cambria" w:cs="Times New Roman"/>
      <w:color w:val="95740E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8162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0863">
          <w:marLeft w:val="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867">
          <w:marLeft w:val="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257">
          <w:marLeft w:val="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38">
          <w:marLeft w:val="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741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521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29737">
          <w:marLeft w:val="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919">
          <w:marLeft w:val="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269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768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634">
          <w:marLeft w:val="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964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23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137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banetComp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6C498D5DAAC4D947EEE07B327D317" ma:contentTypeVersion="0" ma:contentTypeDescription="Create a new document." ma:contentTypeScope="" ma:versionID="92c9f913b4aef1cd7e28ce1a800e9ce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BB05-EA3B-4191-9391-45D9303AF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D1A97DF-EDCA-47C0-AD18-3B2009A6B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DFC9D-40AC-4676-B7D0-2A71BF1BA18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B180445-24F1-4E2F-A827-F4E63057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Dept</dc:creator>
  <cp:keywords/>
  <dc:description/>
  <cp:lastModifiedBy>dcs03b</cp:lastModifiedBy>
  <cp:revision>2</cp:revision>
  <cp:lastPrinted>2011-01-10T18:05:00Z</cp:lastPrinted>
  <dcterms:created xsi:type="dcterms:W3CDTF">2011-05-17T13:11:00Z</dcterms:created>
  <dcterms:modified xsi:type="dcterms:W3CDTF">2011-05-17T13:11:00Z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0x0101003916C498D5DAAC4D947EEE07B327D317</vt:lpwstr>
  </property>
</Properties>
</file>