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25CC" w14:textId="1CC67716" w:rsidR="00C32101" w:rsidRDefault="00CB4408">
      <w:pPr>
        <w:pBdr>
          <w:bottom w:val="single" w:sz="12" w:space="1" w:color="auto"/>
        </w:pBd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40CA4B64" wp14:editId="14955BE3">
            <wp:simplePos x="0" y="0"/>
            <wp:positionH relativeFrom="margin">
              <wp:posOffset>3886200</wp:posOffset>
            </wp:positionH>
            <wp:positionV relativeFrom="line">
              <wp:posOffset>-228600</wp:posOffset>
            </wp:positionV>
            <wp:extent cx="238887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359" y="21000"/>
                <wp:lineTo x="21359" y="0"/>
                <wp:lineTo x="0" y="0"/>
              </wp:wrapPolygon>
            </wp:wrapThrough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5" t="5965" r="5263" b="3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F">
        <w:rPr>
          <w:sz w:val="48"/>
          <w:szCs w:val="48"/>
        </w:rPr>
        <w:t>BCOR</w:t>
      </w:r>
      <w:r w:rsidR="00F54476">
        <w:rPr>
          <w:sz w:val="48"/>
          <w:szCs w:val="48"/>
        </w:rPr>
        <w:t xml:space="preserve"> </w:t>
      </w:r>
      <w:r w:rsidR="008F32CF">
        <w:rPr>
          <w:sz w:val="48"/>
          <w:szCs w:val="48"/>
        </w:rPr>
        <w:t>3</w:t>
      </w:r>
      <w:r w:rsidR="00F54476">
        <w:rPr>
          <w:sz w:val="48"/>
          <w:szCs w:val="48"/>
        </w:rPr>
        <w:t>10 Assessment – 201</w:t>
      </w:r>
      <w:r w:rsidR="00AC3AE8">
        <w:rPr>
          <w:sz w:val="48"/>
          <w:szCs w:val="48"/>
        </w:rPr>
        <w:t>3</w:t>
      </w:r>
      <w:r w:rsidR="00967039">
        <w:rPr>
          <w:sz w:val="48"/>
          <w:szCs w:val="48"/>
        </w:rPr>
        <w:t>-1</w:t>
      </w:r>
      <w:r w:rsidR="00AC3AE8">
        <w:rPr>
          <w:sz w:val="48"/>
          <w:szCs w:val="48"/>
        </w:rPr>
        <w:t>4</w:t>
      </w:r>
      <w:r>
        <w:rPr>
          <w:sz w:val="48"/>
          <w:szCs w:val="48"/>
        </w:rPr>
        <w:t xml:space="preserve"> </w:t>
      </w:r>
      <w:r w:rsidR="00F54476">
        <w:rPr>
          <w:sz w:val="48"/>
          <w:szCs w:val="48"/>
        </w:rPr>
        <w:t>Report</w:t>
      </w:r>
    </w:p>
    <w:p w14:paraId="4F7005CC" w14:textId="5C34D6B1" w:rsidR="00F54476" w:rsidRPr="00F54476" w:rsidRDefault="00F54476">
      <w:pPr>
        <w:rPr>
          <w:i/>
        </w:rPr>
      </w:pPr>
      <w:r w:rsidRPr="00F54476">
        <w:rPr>
          <w:i/>
        </w:rPr>
        <w:t>Dr. Phyllis Bolin</w:t>
      </w:r>
    </w:p>
    <w:p w14:paraId="489D78EC" w14:textId="165512E5" w:rsidR="00F54476" w:rsidRDefault="00F54476">
      <w:pPr>
        <w:rPr>
          <w:i/>
        </w:rPr>
      </w:pPr>
      <w:r w:rsidRPr="00F54476">
        <w:rPr>
          <w:i/>
        </w:rPr>
        <w:t xml:space="preserve">Dr. </w:t>
      </w:r>
      <w:r w:rsidR="008F32CF">
        <w:rPr>
          <w:i/>
        </w:rPr>
        <w:t>Wendell Willis</w:t>
      </w:r>
    </w:p>
    <w:p w14:paraId="6E7087AE" w14:textId="4C399A84" w:rsidR="001F5855" w:rsidRPr="00F54476" w:rsidRDefault="001F5855">
      <w:pPr>
        <w:rPr>
          <w:i/>
        </w:rPr>
      </w:pPr>
      <w:r>
        <w:rPr>
          <w:i/>
        </w:rPr>
        <w:t>Dr. Sarah Lee</w:t>
      </w:r>
    </w:p>
    <w:p w14:paraId="4DFD599C" w14:textId="77777777" w:rsidR="00F54476" w:rsidRDefault="00F54476">
      <w:pPr>
        <w:rPr>
          <w:b/>
        </w:rPr>
      </w:pPr>
    </w:p>
    <w:p w14:paraId="3B4C9AA7" w14:textId="1B1BE9D7" w:rsidR="00A84B0C" w:rsidRPr="00F54476" w:rsidRDefault="00A84B0C">
      <w:pPr>
        <w:rPr>
          <w:b/>
        </w:rPr>
      </w:pPr>
      <w:r w:rsidRPr="00F54476">
        <w:rPr>
          <w:b/>
        </w:rPr>
        <w:t>Background</w:t>
      </w:r>
    </w:p>
    <w:p w14:paraId="04D5DA14" w14:textId="77777777" w:rsidR="00A84B0C" w:rsidRDefault="00A84B0C"/>
    <w:p w14:paraId="1CB09CC5" w14:textId="4EAC1B11" w:rsidR="00EA0140" w:rsidRDefault="00EA0140" w:rsidP="00EA0140">
      <w:r>
        <w:t xml:space="preserve">This was the first assessment of the </w:t>
      </w:r>
      <w:r w:rsidR="004D49AA">
        <w:t>research artifact from BCOR 310;</w:t>
      </w:r>
      <w:r>
        <w:t xml:space="preserve"> </w:t>
      </w:r>
      <w:r w:rsidR="00F8578F">
        <w:t>the</w:t>
      </w:r>
      <w:r>
        <w:t xml:space="preserve"> assessment outcomes are those prescribed for BCOR 310 outcomes 1.1</w:t>
      </w:r>
      <w:r w:rsidR="00D71068">
        <w:t>.</w:t>
      </w:r>
      <w:r>
        <w:t>A</w:t>
      </w:r>
      <w:r w:rsidR="007A3038">
        <w:t>,</w:t>
      </w:r>
      <w:r>
        <w:t xml:space="preserve"> </w:t>
      </w:r>
      <w:r w:rsidR="00D71068">
        <w:t xml:space="preserve">1.1.B, </w:t>
      </w:r>
      <w:r>
        <w:t>1.1</w:t>
      </w:r>
      <w:r w:rsidR="00D71068">
        <w:t>.</w:t>
      </w:r>
      <w:r>
        <w:t>C, 1.2</w:t>
      </w:r>
      <w:r w:rsidR="00D71068">
        <w:t>.</w:t>
      </w:r>
      <w:r>
        <w:t>A, 1.2</w:t>
      </w:r>
      <w:r w:rsidR="00D71068">
        <w:t>.</w:t>
      </w:r>
      <w:r>
        <w:t>B, 1.3</w:t>
      </w:r>
      <w:r w:rsidR="00D71068">
        <w:t>.</w:t>
      </w:r>
      <w:r>
        <w:t>A, and 1.3</w:t>
      </w:r>
      <w:r w:rsidR="00D71068">
        <w:t>.</w:t>
      </w:r>
      <w:r>
        <w:t xml:space="preserve">B </w:t>
      </w:r>
      <w:r w:rsidR="004D49AA">
        <w:t>(listed below) and found in</w:t>
      </w:r>
      <w:r>
        <w:t xml:space="preserve"> the QEP document</w:t>
      </w:r>
      <w:r w:rsidR="004D49AA">
        <w:t xml:space="preserve"> approved by SACSCOC.</w:t>
      </w:r>
      <w:r w:rsidR="001F5855">
        <w:t xml:space="preserve"> </w:t>
      </w:r>
      <w:r>
        <w:t xml:space="preserve">From a set of 389 students, 358 papers were collected (92%).  A random sample of 60 papers from those 358 papers was assessed in spring 2014. </w:t>
      </w:r>
    </w:p>
    <w:p w14:paraId="0A49B956" w14:textId="77777777" w:rsidR="00AC04D0" w:rsidRDefault="00AC04D0"/>
    <w:p w14:paraId="18E695E7" w14:textId="5600C0A7" w:rsidR="00A84B0C" w:rsidRDefault="00AC04D0">
      <w:r>
        <w:t>T</w:t>
      </w:r>
      <w:r w:rsidR="0027141D">
        <w:t>he assessment team consisted of</w:t>
      </w:r>
      <w:r w:rsidR="008F32CF">
        <w:t xml:space="preserve"> </w:t>
      </w:r>
      <w:r>
        <w:t>5 faculty members</w:t>
      </w:r>
      <w:r w:rsidR="003A3B97">
        <w:t xml:space="preserve">– Dr. </w:t>
      </w:r>
      <w:r w:rsidR="008F32CF">
        <w:t>Suanna Davis (</w:t>
      </w:r>
      <w:r w:rsidR="00F3518B">
        <w:t>Language and Literature</w:t>
      </w:r>
      <w:r w:rsidR="008F32CF">
        <w:t>), Dr. Sarah Lee (Chemistry</w:t>
      </w:r>
      <w:r w:rsidR="0027141D">
        <w:t xml:space="preserve"> and Biochemistry</w:t>
      </w:r>
      <w:r w:rsidR="008F32CF">
        <w:t>), Dr. Monty Lynn (Management</w:t>
      </w:r>
      <w:r w:rsidR="00F3518B">
        <w:t xml:space="preserve"> Sciences</w:t>
      </w:r>
      <w:r w:rsidR="008F32CF">
        <w:t>), Dr</w:t>
      </w:r>
      <w:r w:rsidR="007D08B8">
        <w:t>. Curt</w:t>
      </w:r>
      <w:r w:rsidR="008F32CF">
        <w:t xml:space="preserve"> Niccum (Bible</w:t>
      </w:r>
      <w:r w:rsidR="00F3518B">
        <w:t>, Missions and Ministry</w:t>
      </w:r>
      <w:r w:rsidR="008F32CF">
        <w:t>) and Dr. Wendell Willis (</w:t>
      </w:r>
      <w:r w:rsidR="007D08B8">
        <w:t>Bible,</w:t>
      </w:r>
      <w:r w:rsidR="00F3518B">
        <w:t xml:space="preserve"> Missions and Ministry</w:t>
      </w:r>
      <w:r w:rsidR="008F32CF">
        <w:t>).</w:t>
      </w:r>
    </w:p>
    <w:p w14:paraId="527AE544" w14:textId="77777777" w:rsidR="00FB0B4D" w:rsidRDefault="00FB0B4D"/>
    <w:p w14:paraId="7A56E378" w14:textId="31445E5C" w:rsidR="00BE76C2" w:rsidRDefault="004D49AA" w:rsidP="00164A97">
      <w:r>
        <w:t>Two</w:t>
      </w:r>
      <w:r w:rsidR="00D71068">
        <w:t xml:space="preserve"> members of the assessment team rated each paper</w:t>
      </w:r>
      <w:r w:rsidR="00547A06">
        <w:t>.  T</w:t>
      </w:r>
      <w:r w:rsidR="005B2196">
        <w:t>he scores from</w:t>
      </w:r>
      <w:r w:rsidR="00164A97">
        <w:t xml:space="preserve"> rater 1 and rater 2 were averaged for each SLO for each paper in the sample. </w:t>
      </w:r>
      <w:r w:rsidR="005B2196">
        <w:t xml:space="preserve"> These averages scores were used to calculate the </w:t>
      </w:r>
      <w:r w:rsidR="00BE76C2">
        <w:t xml:space="preserve">total average score for each SLO, the number of papers meeting the acceptable </w:t>
      </w:r>
      <w:r w:rsidR="0015373F">
        <w:t xml:space="preserve">and ideal </w:t>
      </w:r>
      <w:r w:rsidR="00BE76C2">
        <w:t>target</w:t>
      </w:r>
      <w:r w:rsidR="0015373F">
        <w:t>s</w:t>
      </w:r>
      <w:r w:rsidR="00BE76C2">
        <w:t xml:space="preserve"> and the composite scores</w:t>
      </w:r>
      <w:r w:rsidR="005B2196">
        <w:t xml:space="preserve">. </w:t>
      </w:r>
      <w:r w:rsidR="00164A97">
        <w:t xml:space="preserve"> Composite scores were calculated by adding </w:t>
      </w:r>
      <w:r w:rsidR="005B2196">
        <w:t xml:space="preserve">the </w:t>
      </w:r>
      <w:r w:rsidR="00164A97">
        <w:t>rubric scores for each SLO (e.g., 1.1.A + 1.1.</w:t>
      </w:r>
      <w:r w:rsidR="00E419DC">
        <w:t>B + 1.1.C</w:t>
      </w:r>
      <w:r w:rsidR="00164A97">
        <w:t xml:space="preserve">).  </w:t>
      </w:r>
      <w:r w:rsidR="00BE76C2">
        <w:t xml:space="preserve">Percentages of papers meeting acceptable </w:t>
      </w:r>
      <w:r w:rsidR="0015373F">
        <w:t xml:space="preserve">and ideal </w:t>
      </w:r>
      <w:r w:rsidR="00BE76C2">
        <w:t>target scores were calculated by dividing by the number of papers in the sample.</w:t>
      </w:r>
    </w:p>
    <w:p w14:paraId="495FF9E5" w14:textId="77777777" w:rsidR="00164A97" w:rsidRDefault="00164A97"/>
    <w:p w14:paraId="360E371F" w14:textId="77777777" w:rsidR="00031C3A" w:rsidRDefault="00031C3A"/>
    <w:p w14:paraId="27206253" w14:textId="52B1976E" w:rsidR="008A359B" w:rsidRDefault="008A359B">
      <w:r>
        <w:t>SLOs assessed in 201</w:t>
      </w:r>
      <w:r w:rsidR="00C138F3">
        <w:t>3</w:t>
      </w:r>
      <w:r>
        <w:t>-201</w:t>
      </w:r>
      <w:r w:rsidR="00C138F3">
        <w:t>4</w:t>
      </w:r>
      <w:r>
        <w:t>:</w:t>
      </w:r>
    </w:p>
    <w:p w14:paraId="554DC560" w14:textId="208374D9" w:rsidR="008A359B" w:rsidRDefault="00D71068" w:rsidP="008A359B">
      <w:pPr>
        <w:pStyle w:val="FootnoteText"/>
        <w:ind w:left="720"/>
      </w:pPr>
      <w:r>
        <w:t xml:space="preserve">1.1.A  </w:t>
      </w:r>
      <w:r w:rsidR="008A359B" w:rsidRPr="00164A97">
        <w:t>Students will determine the nature and extent of the information needed.</w:t>
      </w:r>
    </w:p>
    <w:p w14:paraId="5A6583EA" w14:textId="3A7A16AB" w:rsidR="00031C3A" w:rsidRPr="00164A97" w:rsidRDefault="00D71068" w:rsidP="008A359B">
      <w:pPr>
        <w:pStyle w:val="FootnoteText"/>
        <w:ind w:left="720"/>
      </w:pPr>
      <w:r w:rsidRPr="00D71068">
        <w:t>1.1</w:t>
      </w:r>
      <w:r>
        <w:t>.</w:t>
      </w:r>
      <w:r w:rsidRPr="00D71068">
        <w:t>B</w:t>
      </w:r>
      <w:r>
        <w:t xml:space="preserve"> </w:t>
      </w:r>
      <w:r>
        <w:rPr>
          <w:vertAlign w:val="superscript"/>
        </w:rPr>
        <w:t xml:space="preserve"> </w:t>
      </w:r>
      <w:r w:rsidR="00031C3A">
        <w:t>Students will a</w:t>
      </w:r>
      <w:r w:rsidR="00031C3A" w:rsidRPr="00031C3A">
        <w:t>ccess the needed information effectively and efficiently</w:t>
      </w:r>
      <w:r w:rsidR="00031C3A">
        <w:t>.</w:t>
      </w:r>
    </w:p>
    <w:p w14:paraId="2399D835" w14:textId="6E267149" w:rsidR="008A359B" w:rsidRPr="00164A97" w:rsidRDefault="00D71068" w:rsidP="008A359B">
      <w:pPr>
        <w:pStyle w:val="FootnoteText"/>
        <w:ind w:left="720"/>
      </w:pPr>
      <w:r>
        <w:t xml:space="preserve">1.1.C  </w:t>
      </w:r>
      <w:r w:rsidR="008A359B" w:rsidRPr="00164A97">
        <w:t>Students will use information ethically and legally.</w:t>
      </w:r>
    </w:p>
    <w:p w14:paraId="6008250C" w14:textId="53D4F029" w:rsidR="008A359B" w:rsidRPr="00164A97" w:rsidRDefault="00D71068" w:rsidP="008A359B">
      <w:pPr>
        <w:pStyle w:val="FootnoteText"/>
        <w:ind w:left="720"/>
      </w:pPr>
      <w:r>
        <w:t xml:space="preserve">1.2.A  </w:t>
      </w:r>
      <w:r w:rsidR="008A359B" w:rsidRPr="00164A97">
        <w:t xml:space="preserve">Student will describe </w:t>
      </w:r>
      <w:r w:rsidR="00031C3A">
        <w:t>theories or perspectives</w:t>
      </w:r>
      <w:r w:rsidR="008A359B" w:rsidRPr="00164A97">
        <w:t xml:space="preserve"> relevant to a particular case</w:t>
      </w:r>
      <w:r w:rsidR="005B2196">
        <w:t xml:space="preserve"> or </w:t>
      </w:r>
      <w:r w:rsidR="008A359B" w:rsidRPr="00164A97">
        <w:t>problem.</w:t>
      </w:r>
    </w:p>
    <w:p w14:paraId="33821540" w14:textId="2B0E2B70" w:rsidR="008A359B" w:rsidRPr="00164A97" w:rsidRDefault="00D71068" w:rsidP="008A359B">
      <w:pPr>
        <w:pStyle w:val="FootnoteText"/>
        <w:ind w:left="720"/>
      </w:pPr>
      <w:r>
        <w:t xml:space="preserve">1.2.B  </w:t>
      </w:r>
      <w:r w:rsidR="008A359B" w:rsidRPr="00164A97">
        <w:t xml:space="preserve">Students will describe findings and interpretations relevant to a particular </w:t>
      </w:r>
      <w:r w:rsidR="005B2196" w:rsidRPr="00164A97">
        <w:t>case</w:t>
      </w:r>
      <w:r w:rsidR="005B2196">
        <w:t xml:space="preserve"> or </w:t>
      </w:r>
      <w:r w:rsidR="005B2196" w:rsidRPr="00164A97">
        <w:t>problem</w:t>
      </w:r>
      <w:r w:rsidR="008A359B" w:rsidRPr="00164A97">
        <w:t>.</w:t>
      </w:r>
    </w:p>
    <w:p w14:paraId="20761490" w14:textId="59A539A8" w:rsidR="008A359B" w:rsidRPr="00164A97" w:rsidRDefault="00D71068" w:rsidP="008A359B">
      <w:pPr>
        <w:pStyle w:val="FootnoteText"/>
        <w:ind w:left="720"/>
      </w:pPr>
      <w:r>
        <w:t xml:space="preserve">1.3.A  </w:t>
      </w:r>
      <w:r w:rsidR="008A359B" w:rsidRPr="00164A97">
        <w:t>Students will evaluate information and its sources critically.</w:t>
      </w:r>
    </w:p>
    <w:p w14:paraId="231148BC" w14:textId="32A1D74C" w:rsidR="00547A06" w:rsidRDefault="00D71068" w:rsidP="00D67B2E">
      <w:pPr>
        <w:ind w:left="720"/>
        <w:rPr>
          <w:b/>
        </w:rPr>
      </w:pPr>
      <w:r>
        <w:t xml:space="preserve">1.3.B  </w:t>
      </w:r>
      <w:r w:rsidR="008A359B" w:rsidRPr="00164A97">
        <w:t>Students will use information effectively to accomplish a specific purpose.</w:t>
      </w:r>
    </w:p>
    <w:p w14:paraId="12692AAE" w14:textId="77777777" w:rsidR="00391169" w:rsidRDefault="00391169">
      <w:pPr>
        <w:rPr>
          <w:b/>
        </w:rPr>
      </w:pPr>
    </w:p>
    <w:p w14:paraId="679719B2" w14:textId="4182D421" w:rsidR="002F1536" w:rsidRDefault="002F1536">
      <w:pPr>
        <w:rPr>
          <w:b/>
        </w:rPr>
      </w:pPr>
    </w:p>
    <w:p w14:paraId="5310BDEB" w14:textId="77777777" w:rsidR="00CA3679" w:rsidRDefault="00CA3679">
      <w:pPr>
        <w:rPr>
          <w:b/>
        </w:rPr>
      </w:pPr>
    </w:p>
    <w:p w14:paraId="4452C899" w14:textId="77777777" w:rsidR="00CA3679" w:rsidRPr="004F0831" w:rsidRDefault="00CA3679" w:rsidP="004F0831">
      <w:pPr>
        <w:rPr>
          <w:color w:val="FFFFFF" w:themeColor="background1"/>
        </w:rPr>
      </w:pPr>
    </w:p>
    <w:p w14:paraId="22B7F0E6" w14:textId="77777777" w:rsidR="00E12B4C" w:rsidRDefault="00E12B4C">
      <w:pPr>
        <w:rPr>
          <w:b/>
        </w:rPr>
      </w:pPr>
    </w:p>
    <w:p w14:paraId="684E09CE" w14:textId="1461A150" w:rsidR="008A359B" w:rsidRDefault="00F54476">
      <w:r w:rsidRPr="00F54476">
        <w:rPr>
          <w:b/>
        </w:rPr>
        <w:t>Results</w:t>
      </w:r>
      <w:r w:rsidR="008A359B">
        <w:t xml:space="preserve"> </w:t>
      </w:r>
    </w:p>
    <w:p w14:paraId="1AC52391" w14:textId="41946F00" w:rsidR="00F54476" w:rsidRDefault="008A359B">
      <w:r>
        <w:lastRenderedPageBreak/>
        <w:t>SLO 1.1</w:t>
      </w:r>
      <w:r w:rsidR="00CA64C8">
        <w:t>.A</w:t>
      </w:r>
    </w:p>
    <w:p w14:paraId="41E59A7D" w14:textId="478A4224" w:rsidR="00967039" w:rsidRDefault="00F54476" w:rsidP="008A359B">
      <w:r>
        <w:t xml:space="preserve">The QEP </w:t>
      </w:r>
      <w:r w:rsidR="008C7DB3">
        <w:t>report</w:t>
      </w:r>
      <w:r>
        <w:t xml:space="preserve"> calls for </w:t>
      </w:r>
      <w:r w:rsidR="00F32872">
        <w:t xml:space="preserve">an </w:t>
      </w:r>
      <w:r w:rsidR="008C7DB3" w:rsidRPr="00967039">
        <w:rPr>
          <w:b/>
        </w:rPr>
        <w:t>acceptable target</w:t>
      </w:r>
      <w:r w:rsidR="008C7DB3">
        <w:t xml:space="preserve"> of 7</w:t>
      </w:r>
      <w:r w:rsidR="009668FE">
        <w:t>3</w:t>
      </w:r>
      <w:r w:rsidR="008C7DB3">
        <w:t>% of samples scoring</w:t>
      </w:r>
      <w:r w:rsidR="00F32872">
        <w:t xml:space="preserve"> </w:t>
      </w:r>
      <w:r w:rsidR="008A359B">
        <w:t>2.5</w:t>
      </w:r>
      <w:r w:rsidR="00F32872">
        <w:t xml:space="preserve"> or </w:t>
      </w:r>
      <w:r w:rsidR="00CA64C8">
        <w:t>higher and an</w:t>
      </w:r>
      <w:r w:rsidR="008C7DB3">
        <w:t xml:space="preserve"> </w:t>
      </w:r>
      <w:r w:rsidR="008C7DB3" w:rsidRPr="00967039">
        <w:rPr>
          <w:b/>
        </w:rPr>
        <w:t>ideal target</w:t>
      </w:r>
      <w:r w:rsidR="008C7DB3">
        <w:t xml:space="preserve"> </w:t>
      </w:r>
      <w:r w:rsidR="00CA64C8">
        <w:t>of</w:t>
      </w:r>
      <w:r w:rsidR="008A359B">
        <w:t xml:space="preserve"> </w:t>
      </w:r>
      <w:r w:rsidR="008C7DB3">
        <w:t>8</w:t>
      </w:r>
      <w:r w:rsidR="009668FE">
        <w:t>5</w:t>
      </w:r>
      <w:r w:rsidR="008C7DB3">
        <w:t>%</w:t>
      </w:r>
      <w:r w:rsidR="00F32872">
        <w:t xml:space="preserve"> </w:t>
      </w:r>
      <w:r w:rsidR="008C7DB3">
        <w:t xml:space="preserve">of samples scoring </w:t>
      </w:r>
      <w:r w:rsidR="008A359B">
        <w:t>2.5</w:t>
      </w:r>
      <w:r w:rsidR="008C7DB3">
        <w:t xml:space="preserve"> or higher</w:t>
      </w:r>
      <w:r w:rsidR="008A359B">
        <w:t xml:space="preserve"> </w:t>
      </w:r>
      <w:r w:rsidR="00CA64C8">
        <w:t>for this rubric item</w:t>
      </w:r>
      <w:r w:rsidR="008C7DB3">
        <w:t xml:space="preserve">.  </w:t>
      </w:r>
      <w:r w:rsidR="00CA64C8">
        <w:t xml:space="preserve">In 2013-14, </w:t>
      </w:r>
      <w:r w:rsidR="00D67B2E">
        <w:t>37</w:t>
      </w:r>
      <w:r w:rsidR="00CA64C8">
        <w:t xml:space="preserve">% of sampled papers received a rubric rating of 2.5 or higher; </w:t>
      </w:r>
      <w:r w:rsidR="009668FE">
        <w:t>t</w:t>
      </w:r>
      <w:r w:rsidR="00D67B2E">
        <w:t xml:space="preserve">hus scarcely meeting half the acceptable score.  </w:t>
      </w:r>
      <w:r w:rsidR="00EA0140">
        <w:t xml:space="preserve"> </w:t>
      </w:r>
    </w:p>
    <w:p w14:paraId="0727C232" w14:textId="77777777" w:rsidR="008A359B" w:rsidRDefault="008A359B" w:rsidP="008A359B"/>
    <w:tbl>
      <w:tblPr>
        <w:tblW w:w="6469" w:type="dxa"/>
        <w:jc w:val="center"/>
        <w:tblLook w:val="04A0" w:firstRow="1" w:lastRow="0" w:firstColumn="1" w:lastColumn="0" w:noHBand="0" w:noVBand="1"/>
      </w:tblPr>
      <w:tblGrid>
        <w:gridCol w:w="1339"/>
        <w:gridCol w:w="1620"/>
        <w:gridCol w:w="1684"/>
        <w:gridCol w:w="1826"/>
      </w:tblGrid>
      <w:tr w:rsidR="0061531A" w:rsidRPr="00CA64C8" w14:paraId="183FB528" w14:textId="77777777" w:rsidTr="00174BE1">
        <w:trPr>
          <w:trHeight w:val="462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3F6126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A64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7EC44B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64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1.1.A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D3D7B1D" w14:textId="6BFE8947" w:rsidR="0061531A" w:rsidRPr="00CA64C8" w:rsidRDefault="001E0B6C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BCOR 310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1CE310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3</w:t>
            </w:r>
          </w:p>
        </w:tc>
      </w:tr>
      <w:tr w:rsidR="0061531A" w:rsidRPr="00CA64C8" w14:paraId="29978B77" w14:textId="77777777" w:rsidTr="00174BE1">
        <w:trPr>
          <w:trHeight w:val="60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78ED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B2E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Determine Information Needed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CD00CF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Score &gt; 2.5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777A" w14:textId="7A3661DA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</w:t>
            </w:r>
            <w:r w:rsidR="0015373F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61531A" w:rsidRPr="00CA64C8" w14:paraId="3217A1FB" w14:textId="77777777" w:rsidTr="00174BE1">
        <w:trPr>
          <w:trHeight w:val="945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2FB8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9775E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351C9B" w14:textId="383FA4B5" w:rsidR="0061531A" w:rsidRPr="00CA64C8" w:rsidRDefault="0061531A" w:rsidP="006153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Acceptable Target (7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CA64C8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AB84" w14:textId="030A8DD6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 </w:t>
            </w:r>
            <w:r w:rsidRPr="00CA64C8">
              <w:rPr>
                <w:rFonts w:ascii="Calibri" w:eastAsia="Times New Roman" w:hAnsi="Calibri" w:cs="Times New Roman"/>
                <w:color w:val="000000"/>
              </w:rPr>
              <w:t>Met</w:t>
            </w:r>
          </w:p>
        </w:tc>
      </w:tr>
      <w:tr w:rsidR="0061531A" w:rsidRPr="00CA64C8" w14:paraId="52D35264" w14:textId="77777777" w:rsidTr="00174BE1">
        <w:trPr>
          <w:trHeight w:val="63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DA9A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2FBE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3C7825" w14:textId="6782EAB8" w:rsidR="0061531A" w:rsidRPr="00CA64C8" w:rsidRDefault="0061531A" w:rsidP="006153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Ideal Target (8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A64C8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9DB7" w14:textId="4FABD95F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61531A" w:rsidRPr="00CA64C8" w14:paraId="36D52D96" w14:textId="77777777" w:rsidTr="00174BE1">
        <w:trPr>
          <w:trHeight w:val="630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A929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253C6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14B084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316" w14:textId="72A35429" w:rsidR="0061531A" w:rsidRPr="00CA64C8" w:rsidRDefault="0061531A" w:rsidP="006153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</w:tbl>
    <w:p w14:paraId="1B51BE99" w14:textId="77777777" w:rsidR="008A359B" w:rsidRDefault="008A359B" w:rsidP="008A359B"/>
    <w:p w14:paraId="16F0F11B" w14:textId="77777777" w:rsidR="001E0B6C" w:rsidRDefault="001E0B6C" w:rsidP="008A359B"/>
    <w:p w14:paraId="2064823B" w14:textId="77777777" w:rsidR="00967039" w:rsidRDefault="00967039" w:rsidP="00967039"/>
    <w:p w14:paraId="76731C0D" w14:textId="77777777" w:rsidR="00CA64C8" w:rsidRDefault="00CA64C8">
      <w:r>
        <w:t>SLO 1.1.B</w:t>
      </w:r>
    </w:p>
    <w:p w14:paraId="47E9A61F" w14:textId="3D8A8EFD" w:rsidR="00CA64C8" w:rsidRDefault="00CA64C8" w:rsidP="00CA64C8">
      <w:r>
        <w:t xml:space="preserve">The QEP report calls for an </w:t>
      </w:r>
      <w:r w:rsidRPr="00967039">
        <w:rPr>
          <w:b/>
        </w:rPr>
        <w:t>acceptable target</w:t>
      </w:r>
      <w:r>
        <w:t xml:space="preserve"> of 7</w:t>
      </w:r>
      <w:r w:rsidR="009668FE">
        <w:t>3</w:t>
      </w:r>
      <w:r>
        <w:t xml:space="preserve">% of samples scoring 2.5 or higher and an </w:t>
      </w:r>
      <w:r w:rsidRPr="00967039">
        <w:rPr>
          <w:b/>
        </w:rPr>
        <w:t>ideal target</w:t>
      </w:r>
      <w:r>
        <w:t xml:space="preserve"> of 8</w:t>
      </w:r>
      <w:r w:rsidR="009668FE">
        <w:t>5</w:t>
      </w:r>
      <w:r>
        <w:t xml:space="preserve">% of samples scoring 2.5 or higher for this rubric item.  In 2013-14, </w:t>
      </w:r>
      <w:r w:rsidR="00FC5D99">
        <w:t>43.3</w:t>
      </w:r>
      <w:r>
        <w:t xml:space="preserve">% of sampled papers received a rubric rating of 2.5 or higher; </w:t>
      </w:r>
      <w:r w:rsidR="00FC5D99">
        <w:t xml:space="preserve">therefore not </w:t>
      </w:r>
      <w:r>
        <w:t xml:space="preserve">approaching the acceptable target of 70%.  </w:t>
      </w:r>
    </w:p>
    <w:p w14:paraId="6996CC59" w14:textId="77777777" w:rsidR="00CA64C8" w:rsidRDefault="00CA64C8"/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1625"/>
        <w:gridCol w:w="1701"/>
        <w:gridCol w:w="1625"/>
        <w:gridCol w:w="1749"/>
      </w:tblGrid>
      <w:tr w:rsidR="0061531A" w:rsidRPr="00CA64C8" w14:paraId="414F12EA" w14:textId="77777777" w:rsidTr="0015373F">
        <w:trPr>
          <w:trHeight w:val="31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8C6042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A64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TWO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557E1F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64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1.1.B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34D4434E" w14:textId="5C1468E7" w:rsidR="0061531A" w:rsidRPr="00CA64C8" w:rsidRDefault="001E0B6C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BCOR 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26CB38" w14:textId="739A44F8" w:rsidR="0061531A" w:rsidRPr="00CA64C8" w:rsidRDefault="0061531A" w:rsidP="006153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Year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1531A" w:rsidRPr="00CA64C8" w14:paraId="5E34A875" w14:textId="77777777" w:rsidTr="0015373F">
        <w:trPr>
          <w:trHeight w:val="63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603F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E12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Access and </w:t>
            </w:r>
            <w:r w:rsidRPr="00CA64C8">
              <w:rPr>
                <w:rFonts w:ascii="Calibri" w:eastAsia="Times New Roman" w:hAnsi="Calibri" w:cs="Times New Roman"/>
                <w:color w:val="000000"/>
              </w:rPr>
              <w:t>Use Information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B4C051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Score &gt; 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E413" w14:textId="1354CF3A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43.3%</w:t>
            </w:r>
          </w:p>
        </w:tc>
      </w:tr>
      <w:tr w:rsidR="0061531A" w:rsidRPr="00CA64C8" w14:paraId="3DD5D6E0" w14:textId="77777777" w:rsidTr="0015373F">
        <w:trPr>
          <w:trHeight w:val="43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7E80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C0DB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37488E" w14:textId="3234726C" w:rsidR="0061531A" w:rsidRPr="00CA64C8" w:rsidRDefault="0061531A" w:rsidP="006153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Acceptable Target (7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CA64C8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55DD" w14:textId="530E4ABF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61531A" w:rsidRPr="00CA64C8" w14:paraId="5F93602D" w14:textId="77777777" w:rsidTr="0015373F">
        <w:trPr>
          <w:trHeight w:val="6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362D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83E47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1325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34E8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31A" w:rsidRPr="00CA64C8" w14:paraId="5F97CB16" w14:textId="77777777" w:rsidTr="0015373F">
        <w:trPr>
          <w:trHeight w:val="63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8B85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39BE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3A125A" w14:textId="7A855D64" w:rsidR="0061531A" w:rsidRPr="00CA64C8" w:rsidRDefault="0061531A" w:rsidP="009668F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Ideal Target (8</w:t>
            </w:r>
            <w:r w:rsidR="009668FE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A64C8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E8DB" w14:textId="40B4EE32" w:rsidR="0061531A" w:rsidRPr="00CA64C8" w:rsidRDefault="0061531A" w:rsidP="0061531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61531A" w:rsidRPr="00CA64C8" w14:paraId="16B6C505" w14:textId="77777777" w:rsidTr="0015373F">
        <w:trPr>
          <w:trHeight w:val="63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74E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83C9" w14:textId="77777777" w:rsidR="0061531A" w:rsidRPr="00CA64C8" w:rsidRDefault="0061531A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7097CD" w14:textId="77777777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EE2" w14:textId="42B45916" w:rsidR="0061531A" w:rsidRPr="00CA64C8" w:rsidRDefault="0061531A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</w:tr>
    </w:tbl>
    <w:p w14:paraId="1FA56788" w14:textId="77777777" w:rsidR="0015373F" w:rsidRDefault="0015373F"/>
    <w:p w14:paraId="2781904B" w14:textId="77777777" w:rsidR="0015373F" w:rsidRDefault="0015373F"/>
    <w:p w14:paraId="30895674" w14:textId="77777777" w:rsidR="0015373F" w:rsidRDefault="0015373F"/>
    <w:p w14:paraId="1FC66560" w14:textId="77777777" w:rsidR="0015373F" w:rsidRDefault="0015373F"/>
    <w:p w14:paraId="192BE76C" w14:textId="77777777" w:rsidR="0015373F" w:rsidRDefault="0015373F"/>
    <w:p w14:paraId="4CC9498E" w14:textId="77777777" w:rsidR="00D71068" w:rsidRDefault="00D71068"/>
    <w:p w14:paraId="3FC5CA51" w14:textId="3B3EB724" w:rsidR="00CA64C8" w:rsidRDefault="00CA64C8">
      <w:r>
        <w:t>SLO 1.1.C</w:t>
      </w:r>
    </w:p>
    <w:p w14:paraId="01C76DC1" w14:textId="03B75A5D" w:rsidR="00CA64C8" w:rsidRDefault="00CA64C8" w:rsidP="00CA64C8">
      <w:r>
        <w:lastRenderedPageBreak/>
        <w:t xml:space="preserve">The QEP report calls for an </w:t>
      </w:r>
      <w:r w:rsidRPr="00967039">
        <w:rPr>
          <w:b/>
        </w:rPr>
        <w:t>acceptable target</w:t>
      </w:r>
      <w:r>
        <w:t xml:space="preserve"> of 7</w:t>
      </w:r>
      <w:r w:rsidR="009668FE">
        <w:t>3</w:t>
      </w:r>
      <w:r>
        <w:t xml:space="preserve">% of samples scoring 2.5 or higher and an </w:t>
      </w:r>
      <w:r w:rsidRPr="00967039">
        <w:rPr>
          <w:b/>
        </w:rPr>
        <w:t>ideal target</w:t>
      </w:r>
      <w:r>
        <w:t xml:space="preserve"> of 8</w:t>
      </w:r>
      <w:r w:rsidR="009668FE">
        <w:t>5</w:t>
      </w:r>
      <w:r>
        <w:t xml:space="preserve">% of samples scoring 2.5 or higher for this rubric item.  In 2013-14, </w:t>
      </w:r>
      <w:r w:rsidR="00FC5D99">
        <w:t>55</w:t>
      </w:r>
      <w:r>
        <w:t xml:space="preserve">% of sampled papers received a rubric rating of 2.5 or higher; </w:t>
      </w:r>
      <w:r w:rsidR="00FC5D99">
        <w:t xml:space="preserve">below </w:t>
      </w:r>
      <w:r>
        <w:t xml:space="preserve">the acceptable target of 70%. </w:t>
      </w:r>
    </w:p>
    <w:p w14:paraId="21EF6377" w14:textId="77777777" w:rsidR="00CA64C8" w:rsidRDefault="00CA64C8"/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1625"/>
        <w:gridCol w:w="1701"/>
        <w:gridCol w:w="1625"/>
        <w:gridCol w:w="1749"/>
      </w:tblGrid>
      <w:tr w:rsidR="00174BE1" w:rsidRPr="00CA64C8" w14:paraId="55DF183B" w14:textId="77777777" w:rsidTr="0015373F">
        <w:trPr>
          <w:trHeight w:val="46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DF70B" w14:textId="77777777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A64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THREE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FB3164" w14:textId="77777777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A64C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1.1.C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1DA2C5B6" w14:textId="7D32F7E2" w:rsidR="00174BE1" w:rsidRPr="001E0B6C" w:rsidRDefault="001E0B6C" w:rsidP="0015373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BCOR 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879EAD" w14:textId="0E603A20" w:rsidR="00174BE1" w:rsidRPr="00CA64C8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Year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74BE1" w:rsidRPr="00CA64C8" w14:paraId="1C5C3AA3" w14:textId="77777777" w:rsidTr="0015373F">
        <w:trPr>
          <w:trHeight w:val="31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70EA" w14:textId="77777777" w:rsidR="00174BE1" w:rsidRPr="00CA64C8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A6E9" w14:textId="77777777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Information Use Strategies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2113AE" w14:textId="77777777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Score &gt; 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EA6" w14:textId="379E8E41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55.0%</w:t>
            </w:r>
          </w:p>
        </w:tc>
      </w:tr>
      <w:tr w:rsidR="00174BE1" w:rsidRPr="00CA64C8" w14:paraId="08224A2A" w14:textId="77777777" w:rsidTr="00174BE1">
        <w:trPr>
          <w:trHeight w:val="94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3B03" w14:textId="77777777" w:rsidR="00174BE1" w:rsidRPr="00CA64C8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939F" w14:textId="77777777" w:rsidR="00174BE1" w:rsidRPr="00CA64C8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21D1F0B6" w14:textId="1550477F" w:rsidR="00174BE1" w:rsidRPr="00CA64C8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Acceptable Target (7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CA64C8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791" w14:textId="4F2DBE9D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174BE1" w:rsidRPr="00CA64C8" w14:paraId="7932D5DE" w14:textId="77777777" w:rsidTr="0015373F">
        <w:trPr>
          <w:trHeight w:val="63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E17C" w14:textId="77777777" w:rsidR="00174BE1" w:rsidRPr="00CA64C8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1CAD" w14:textId="77777777" w:rsidR="00174BE1" w:rsidRPr="00CA64C8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74EEF65" w14:textId="244A8D6F" w:rsidR="00174BE1" w:rsidRPr="00CA64C8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Ideal Target (8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A64C8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14D" w14:textId="77777777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174BE1" w:rsidRPr="00CA64C8" w14:paraId="41A26CF8" w14:textId="77777777" w:rsidTr="00174BE1">
        <w:trPr>
          <w:trHeight w:val="63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B01E" w14:textId="77777777" w:rsidR="00174BE1" w:rsidRPr="00CA64C8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83C26" w14:textId="77777777" w:rsidR="00174BE1" w:rsidRPr="00CA64C8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B86210" w14:textId="77777777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4C8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B4C9" w14:textId="11CF5A4A" w:rsidR="00174BE1" w:rsidRPr="00CA64C8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2.42</w:t>
            </w:r>
          </w:p>
        </w:tc>
      </w:tr>
    </w:tbl>
    <w:p w14:paraId="1021C722" w14:textId="77777777" w:rsidR="008F32CF" w:rsidRDefault="008F32CF"/>
    <w:p w14:paraId="0F3B39CB" w14:textId="77777777" w:rsidR="00174BE1" w:rsidRDefault="00174BE1"/>
    <w:p w14:paraId="10F4A345" w14:textId="77777777" w:rsidR="00391169" w:rsidRDefault="00391169"/>
    <w:p w14:paraId="14284956" w14:textId="77777777" w:rsidR="00391169" w:rsidRDefault="00391169"/>
    <w:p w14:paraId="57DE7F8B" w14:textId="57D10738" w:rsidR="00B54E54" w:rsidRDefault="00B54E54">
      <w:r>
        <w:t>SLO 1.1 Composite</w:t>
      </w:r>
    </w:p>
    <w:p w14:paraId="78E39ECF" w14:textId="3E85C2C7" w:rsidR="00B54E54" w:rsidRDefault="00B54E54">
      <w:r>
        <w:t xml:space="preserve">The QEP report calls for a composite score for 7.5 for SLOs ONE, TWO and THREE.  An </w:t>
      </w:r>
      <w:r w:rsidRPr="009C0C32">
        <w:rPr>
          <w:b/>
        </w:rPr>
        <w:t>acceptable target</w:t>
      </w:r>
      <w:r>
        <w:t xml:space="preserve"> of 7</w:t>
      </w:r>
      <w:r w:rsidR="009668FE">
        <w:t>3</w:t>
      </w:r>
      <w:r>
        <w:t xml:space="preserve">% of samples scoring 7.5 or higher and an </w:t>
      </w:r>
      <w:r w:rsidRPr="009C0C32">
        <w:rPr>
          <w:b/>
        </w:rPr>
        <w:t>ideal target</w:t>
      </w:r>
      <w:r>
        <w:t xml:space="preserve"> of 8</w:t>
      </w:r>
      <w:r w:rsidR="009668FE">
        <w:t>5</w:t>
      </w:r>
      <w:r>
        <w:t>% of samples scorin</w:t>
      </w:r>
      <w:r w:rsidR="00FC5D99">
        <w:t>g 7.5 or higher.  In 2013-14, 37</w:t>
      </w:r>
      <w:r>
        <w:t>% of sampled papers received a comp</w:t>
      </w:r>
      <w:r w:rsidR="00FC5D99">
        <w:t xml:space="preserve">osite score of 7.5 or higher.  </w:t>
      </w:r>
      <w:r>
        <w:t xml:space="preserve"> </w:t>
      </w:r>
    </w:p>
    <w:p w14:paraId="2E34EB2B" w14:textId="77777777" w:rsidR="00B54E54" w:rsidRDefault="00B54E54"/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768"/>
      </w:tblGrid>
      <w:tr w:rsidR="00174BE1" w:rsidRPr="00B54E54" w14:paraId="1D932D58" w14:textId="77777777" w:rsidTr="0015373F">
        <w:trPr>
          <w:trHeight w:val="31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9F5EC5" w14:textId="2AE271EF" w:rsidR="00174BE1" w:rsidRPr="00B54E54" w:rsidRDefault="00174BE1" w:rsidP="001F58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54E5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COMPOSITE</w:t>
            </w:r>
            <w:r w:rsidR="001F58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—1.1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038DCD" w14:textId="77777777" w:rsidR="00174BE1" w:rsidRPr="00B54E54" w:rsidRDefault="00174BE1" w:rsidP="001F58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54E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5C63A9F8" w14:textId="283E0264" w:rsidR="00174BE1" w:rsidRPr="00B54E54" w:rsidRDefault="001E0B6C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BCOR 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7C6748" w14:textId="634ADD1D" w:rsidR="00174BE1" w:rsidRPr="00B54E54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Year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74BE1" w:rsidRPr="00B54E54" w14:paraId="41ADADB4" w14:textId="77777777" w:rsidTr="0015373F">
        <w:trPr>
          <w:trHeight w:val="6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49EF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1BCF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ABA0B3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Total &gt; 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F430" w14:textId="58C43791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37.0%</w:t>
            </w:r>
          </w:p>
        </w:tc>
      </w:tr>
      <w:tr w:rsidR="00174BE1" w:rsidRPr="00B54E54" w14:paraId="70BDE0B2" w14:textId="77777777" w:rsidTr="00174BE1">
        <w:trPr>
          <w:trHeight w:val="43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AB2E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CE6EB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C38BBA" w14:textId="6712D436" w:rsidR="00174BE1" w:rsidRPr="00B54E54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Acceptable Target (7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B54E54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DEA" w14:textId="5133C333" w:rsidR="00174BE1" w:rsidRPr="00391169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1169"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174BE1" w:rsidRPr="00B54E54" w14:paraId="463246D4" w14:textId="77777777" w:rsidTr="00174BE1">
        <w:trPr>
          <w:trHeight w:val="6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12F0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47D9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A0E52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C5C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4BE1" w:rsidRPr="00B54E54" w14:paraId="53381F95" w14:textId="77777777" w:rsidTr="0015373F">
        <w:trPr>
          <w:trHeight w:val="63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11F4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7671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0BE97464" w14:textId="105BBDB1" w:rsidR="00174BE1" w:rsidRPr="00B54E54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Ideal Target (8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54E54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1AB" w14:textId="6BBFDA0F" w:rsidR="00174BE1" w:rsidRPr="00B54E54" w:rsidRDefault="00174BE1" w:rsidP="003911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 xml:space="preserve">Not </w:t>
            </w:r>
            <w:r w:rsidR="00391169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B54E54">
              <w:rPr>
                <w:rFonts w:ascii="Calibri" w:eastAsia="Times New Roman" w:hAnsi="Calibri" w:cs="Times New Roman"/>
                <w:color w:val="000000"/>
              </w:rPr>
              <w:t>et</w:t>
            </w:r>
          </w:p>
        </w:tc>
      </w:tr>
      <w:tr w:rsidR="00174BE1" w:rsidRPr="00B54E54" w14:paraId="0D7C1615" w14:textId="77777777" w:rsidTr="00174BE1">
        <w:trPr>
          <w:trHeight w:val="63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7564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44423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F6BF25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F3F0" w14:textId="0A258305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</w:tr>
    </w:tbl>
    <w:p w14:paraId="0380EBF5" w14:textId="77777777" w:rsidR="00B54E54" w:rsidRDefault="00B54E54"/>
    <w:p w14:paraId="0EBCB068" w14:textId="77777777" w:rsidR="00391169" w:rsidRDefault="00391169">
      <w:pPr>
        <w:sectPr w:rsidR="00391169" w:rsidSect="005B5C86">
          <w:headerReference w:type="default" r:id="rId10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37B7AA12" w14:textId="48387DD0" w:rsidR="00BB310E" w:rsidRDefault="008A359B">
      <w:r>
        <w:lastRenderedPageBreak/>
        <w:t>SLO 1.2</w:t>
      </w:r>
      <w:r w:rsidR="00B54E54">
        <w:t>.A</w:t>
      </w:r>
    </w:p>
    <w:p w14:paraId="3428A3D6" w14:textId="7A949B5A" w:rsidR="008A359B" w:rsidRDefault="008A359B" w:rsidP="00BB310E">
      <w:r>
        <w:t xml:space="preserve">The QEP report calls for an </w:t>
      </w:r>
      <w:r w:rsidRPr="00967039">
        <w:rPr>
          <w:b/>
        </w:rPr>
        <w:t>acceptable target</w:t>
      </w:r>
      <w:r>
        <w:t xml:space="preserve"> of 7</w:t>
      </w:r>
      <w:r w:rsidR="009668FE">
        <w:t>3</w:t>
      </w:r>
      <w:r>
        <w:t xml:space="preserve">% of samples scoring 2.5 or higher </w:t>
      </w:r>
      <w:r w:rsidR="00B54E54">
        <w:t>and an</w:t>
      </w:r>
      <w:r>
        <w:t xml:space="preserve"> </w:t>
      </w:r>
      <w:r w:rsidRPr="00967039">
        <w:rPr>
          <w:b/>
        </w:rPr>
        <w:t>ideal target</w:t>
      </w:r>
      <w:r>
        <w:t xml:space="preserve"> </w:t>
      </w:r>
      <w:r w:rsidR="00B54E54">
        <w:t>of 8</w:t>
      </w:r>
      <w:r w:rsidR="009668FE">
        <w:t>5</w:t>
      </w:r>
      <w:r>
        <w:t>% of samples scoring 2.5 or hig</w:t>
      </w:r>
      <w:r w:rsidR="00B54E54">
        <w:t>her</w:t>
      </w:r>
      <w:r>
        <w:t>.</w:t>
      </w:r>
      <w:r w:rsidR="00FC5D99">
        <w:t xml:space="preserve">  In 2013-14, 5</w:t>
      </w:r>
      <w:r w:rsidR="00B54E54">
        <w:t>1.</w:t>
      </w:r>
      <w:r w:rsidR="0015373F">
        <w:t>7</w:t>
      </w:r>
      <w:r w:rsidR="00B54E54">
        <w:t xml:space="preserve">% of sampled papers received a rubric score of 2.5 or higher.  </w:t>
      </w:r>
    </w:p>
    <w:p w14:paraId="36D4BCF5" w14:textId="77777777" w:rsidR="008A359B" w:rsidRDefault="008A359B" w:rsidP="00BB310E"/>
    <w:tbl>
      <w:tblPr>
        <w:tblW w:w="6384" w:type="dxa"/>
        <w:jc w:val="center"/>
        <w:tblLook w:val="04A0" w:firstRow="1" w:lastRow="0" w:firstColumn="1" w:lastColumn="0" w:noHBand="0" w:noVBand="1"/>
      </w:tblPr>
      <w:tblGrid>
        <w:gridCol w:w="1344"/>
        <w:gridCol w:w="1620"/>
        <w:gridCol w:w="1620"/>
        <w:gridCol w:w="1800"/>
      </w:tblGrid>
      <w:tr w:rsidR="00174BE1" w:rsidRPr="00B54E54" w14:paraId="1ABF320B" w14:textId="77777777" w:rsidTr="00174BE1">
        <w:trPr>
          <w:trHeight w:val="300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5BFB4F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54E5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FOUR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C4B0C8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54E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1.2.A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9BED382" w14:textId="7403B474" w:rsidR="00174BE1" w:rsidRPr="00B54E54" w:rsidRDefault="001E0B6C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BCOR 310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69AA83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3</w:t>
            </w:r>
          </w:p>
        </w:tc>
      </w:tr>
      <w:tr w:rsidR="00174BE1" w:rsidRPr="00B54E54" w14:paraId="283D5083" w14:textId="77777777" w:rsidTr="00174BE1">
        <w:trPr>
          <w:trHeight w:val="600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F8A4B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1EDD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Describe Relevant Theories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41BFEE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Score &gt; 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E210" w14:textId="3218B831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</w:t>
            </w:r>
            <w:r w:rsidR="0015373F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74BE1" w:rsidRPr="00B54E54" w14:paraId="7287E6B5" w14:textId="77777777" w:rsidTr="00174BE1">
        <w:trPr>
          <w:trHeight w:val="1012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7D1E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C555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B13B20" w14:textId="4CDD93C8" w:rsidR="00174BE1" w:rsidRPr="00B54E54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Acceptable Target (7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B54E54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B607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174BE1" w:rsidRPr="00B54E54" w14:paraId="5301D62C" w14:textId="77777777" w:rsidTr="00174BE1">
        <w:trPr>
          <w:trHeight w:val="900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AA87D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A232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712962" w14:textId="72AF9F6B" w:rsidR="00174BE1" w:rsidRPr="00B54E54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Ideal Target (8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54E54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FB4F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174BE1" w:rsidRPr="00B54E54" w14:paraId="4E32296A" w14:textId="77777777" w:rsidTr="00174BE1">
        <w:trPr>
          <w:trHeight w:val="600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232F9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3DE5" w14:textId="77777777" w:rsidR="00174BE1" w:rsidRPr="00B54E54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553FF4" w14:textId="77777777" w:rsidR="00174BE1" w:rsidRPr="00B54E54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475" w14:textId="757EBE9A" w:rsidR="00174BE1" w:rsidRPr="00B54E54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E54">
              <w:rPr>
                <w:rFonts w:ascii="Calibri" w:eastAsia="Times New Roman" w:hAnsi="Calibri" w:cs="Times New Roman"/>
                <w:color w:val="000000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</w:tbl>
    <w:p w14:paraId="14DB21CB" w14:textId="77777777" w:rsidR="008A359B" w:rsidRDefault="008A359B" w:rsidP="00BB310E"/>
    <w:p w14:paraId="77C83C8D" w14:textId="77777777" w:rsidR="00391169" w:rsidRDefault="00391169" w:rsidP="00BB310E"/>
    <w:p w14:paraId="57C7E4F5" w14:textId="77777777" w:rsidR="00391169" w:rsidRDefault="00391169" w:rsidP="00BB310E"/>
    <w:p w14:paraId="756BAA56" w14:textId="77777777" w:rsidR="00174BE1" w:rsidRDefault="00174BE1" w:rsidP="00BB310E"/>
    <w:p w14:paraId="083F9E55" w14:textId="77777777" w:rsidR="00A37B72" w:rsidRDefault="00B54E54">
      <w:r w:rsidRPr="00A37B72">
        <w:t>SLO 1.2.B</w:t>
      </w:r>
    </w:p>
    <w:p w14:paraId="29972C2D" w14:textId="795F0A3C" w:rsidR="00A37B72" w:rsidRDefault="00A37B72" w:rsidP="00A37B72">
      <w:r>
        <w:t xml:space="preserve">The QEP report calls for an </w:t>
      </w:r>
      <w:r w:rsidRPr="00967039">
        <w:rPr>
          <w:b/>
        </w:rPr>
        <w:t>acceptable target</w:t>
      </w:r>
      <w:r>
        <w:t xml:space="preserve"> of 7</w:t>
      </w:r>
      <w:r w:rsidR="009668FE">
        <w:t>3</w:t>
      </w:r>
      <w:r>
        <w:t xml:space="preserve">% of samples scoring 2.5 or higher and an </w:t>
      </w:r>
      <w:r w:rsidRPr="00967039">
        <w:rPr>
          <w:b/>
        </w:rPr>
        <w:t>ideal target</w:t>
      </w:r>
      <w:r>
        <w:t xml:space="preserve"> of 8</w:t>
      </w:r>
      <w:r w:rsidR="009668FE">
        <w:t>5</w:t>
      </w:r>
      <w:r>
        <w:t>% of samples scori</w:t>
      </w:r>
      <w:r w:rsidR="00FC5D99">
        <w:t>ng 2.5 or higher.  In 2013-14, 5</w:t>
      </w:r>
      <w:r>
        <w:t>1.</w:t>
      </w:r>
      <w:r w:rsidR="0015373F">
        <w:t>7</w:t>
      </w:r>
      <w:r>
        <w:t xml:space="preserve">% of sampled papers received a rubric score of 2.5 or higher.  </w:t>
      </w:r>
    </w:p>
    <w:p w14:paraId="5F038B4F" w14:textId="77777777" w:rsidR="00A37B72" w:rsidRDefault="00A37B72"/>
    <w:tbl>
      <w:tblPr>
        <w:tblW w:w="6438" w:type="dxa"/>
        <w:jc w:val="center"/>
        <w:tblLook w:val="04A0" w:firstRow="1" w:lastRow="0" w:firstColumn="1" w:lastColumn="0" w:noHBand="0" w:noVBand="1"/>
      </w:tblPr>
      <w:tblGrid>
        <w:gridCol w:w="1329"/>
        <w:gridCol w:w="1620"/>
        <w:gridCol w:w="1620"/>
        <w:gridCol w:w="1869"/>
      </w:tblGrid>
      <w:tr w:rsidR="00174BE1" w:rsidRPr="00A37B72" w14:paraId="4C4510C7" w14:textId="77777777" w:rsidTr="00174BE1">
        <w:trPr>
          <w:trHeight w:val="315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4B33E1" w14:textId="77777777" w:rsidR="00174BE1" w:rsidRPr="00A37B72" w:rsidRDefault="00174BE1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37B7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FIVE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120AA4" w14:textId="77777777" w:rsidR="00174BE1" w:rsidRPr="00A37B72" w:rsidRDefault="00174BE1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37B7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1.2.B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52F0F7E" w14:textId="163CB290" w:rsidR="00174BE1" w:rsidRPr="00A37B72" w:rsidRDefault="001E0B6C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BCOR 310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722D6B" w14:textId="5E7EA6BA" w:rsidR="00174BE1" w:rsidRPr="00A37B72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37B7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Year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74BE1" w:rsidRPr="00A37B72" w14:paraId="101E231C" w14:textId="77777777" w:rsidTr="00174BE1">
        <w:trPr>
          <w:trHeight w:val="60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70E5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C96D" w14:textId="77777777" w:rsidR="00174BE1" w:rsidRPr="00A37B72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7B72">
              <w:rPr>
                <w:rFonts w:ascii="Calibri" w:eastAsia="Times New Roman" w:hAnsi="Calibri" w:cs="Times New Roman"/>
                <w:color w:val="000000"/>
              </w:rPr>
              <w:t>Analysis Applied to Situation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6011F8" w14:textId="77777777" w:rsidR="00174BE1" w:rsidRPr="00A37B72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7B72">
              <w:rPr>
                <w:rFonts w:ascii="Calibri" w:eastAsia="Times New Roman" w:hAnsi="Calibri" w:cs="Times New Roman"/>
                <w:color w:val="000000"/>
              </w:rPr>
              <w:t>Score &gt; 2.5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9D9" w14:textId="4E18A937" w:rsidR="00174BE1" w:rsidRPr="00A37B72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</w:t>
            </w:r>
            <w:r w:rsidR="0015373F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74BE1" w:rsidRPr="00A37B72" w14:paraId="1B219BBB" w14:textId="77777777" w:rsidTr="00174BE1">
        <w:trPr>
          <w:trHeight w:val="439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A483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3065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4E87CF" w14:textId="10399A5F" w:rsidR="00174BE1" w:rsidRPr="00A37B72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7B72">
              <w:rPr>
                <w:rFonts w:ascii="Calibri" w:eastAsia="Times New Roman" w:hAnsi="Calibri" w:cs="Times New Roman"/>
                <w:color w:val="000000"/>
              </w:rPr>
              <w:t>Acceptable Target (7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37B7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C015" w14:textId="6190B53D" w:rsidR="00174BE1" w:rsidRPr="00A37B72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174BE1" w:rsidRPr="00A37B72" w14:paraId="793BACB9" w14:textId="77777777" w:rsidTr="00174BE1">
        <w:trPr>
          <w:trHeight w:val="60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0DF4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42C3F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483A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9CA7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4BE1" w:rsidRPr="00A37B72" w14:paraId="7E7346D8" w14:textId="77777777" w:rsidTr="00174BE1">
        <w:trPr>
          <w:trHeight w:val="90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315E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95E1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BA8B18" w14:textId="1EF9A638" w:rsidR="00174BE1" w:rsidRPr="00A37B72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7B72">
              <w:rPr>
                <w:rFonts w:ascii="Calibri" w:eastAsia="Times New Roman" w:hAnsi="Calibri" w:cs="Times New Roman"/>
                <w:color w:val="000000"/>
              </w:rPr>
              <w:t>Ideal Target (8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A37B7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918" w14:textId="77777777" w:rsidR="00174BE1" w:rsidRPr="00A37B72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7B72"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174BE1" w:rsidRPr="00A37B72" w14:paraId="1DFB3516" w14:textId="77777777" w:rsidTr="00174BE1">
        <w:trPr>
          <w:trHeight w:val="63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BBDA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0614D" w14:textId="77777777" w:rsidR="00174BE1" w:rsidRPr="00A37B72" w:rsidRDefault="00174BE1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E1AF46" w14:textId="77777777" w:rsidR="00174BE1" w:rsidRPr="00A37B72" w:rsidRDefault="00174BE1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7B72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E446" w14:textId="3D51817B" w:rsidR="00174BE1" w:rsidRPr="00A37B72" w:rsidRDefault="00174BE1" w:rsidP="00174B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2.34</w:t>
            </w:r>
          </w:p>
        </w:tc>
      </w:tr>
    </w:tbl>
    <w:p w14:paraId="7D117F5C" w14:textId="77777777" w:rsidR="00174BE1" w:rsidRDefault="00174BE1"/>
    <w:p w14:paraId="20D0ED36" w14:textId="745B728D" w:rsidR="00391169" w:rsidRDefault="00391169">
      <w:r>
        <w:br w:type="page"/>
      </w:r>
    </w:p>
    <w:p w14:paraId="0D2FC9D0" w14:textId="77777777" w:rsidR="00A37B72" w:rsidRDefault="00A37B72">
      <w:r>
        <w:lastRenderedPageBreak/>
        <w:t>SLO 1.2 Composite</w:t>
      </w:r>
    </w:p>
    <w:p w14:paraId="57C18774" w14:textId="05D55D95" w:rsidR="0088282F" w:rsidRDefault="00A37B72">
      <w:r>
        <w:t xml:space="preserve">The QEP report calls for a composite score for </w:t>
      </w:r>
      <w:r w:rsidR="00A37906">
        <w:t>5.0</w:t>
      </w:r>
      <w:r>
        <w:t xml:space="preserve"> for SLOs </w:t>
      </w:r>
      <w:r w:rsidR="0088282F">
        <w:t>FOUR and FIVE</w:t>
      </w:r>
      <w:r>
        <w:t xml:space="preserve">.  An </w:t>
      </w:r>
      <w:r w:rsidRPr="009C0C32">
        <w:rPr>
          <w:b/>
        </w:rPr>
        <w:t>acceptable target</w:t>
      </w:r>
      <w:r>
        <w:t xml:space="preserve"> of 7</w:t>
      </w:r>
      <w:r w:rsidR="00A37906">
        <w:t>3</w:t>
      </w:r>
      <w:r>
        <w:t xml:space="preserve">% of samples scoring </w:t>
      </w:r>
      <w:r w:rsidR="0088282F">
        <w:t>5.0</w:t>
      </w:r>
      <w:r>
        <w:t xml:space="preserve"> or higher and an </w:t>
      </w:r>
      <w:r w:rsidRPr="009C0C32">
        <w:rPr>
          <w:b/>
        </w:rPr>
        <w:t>ideal target</w:t>
      </w:r>
      <w:r>
        <w:t xml:space="preserve"> of 8</w:t>
      </w:r>
      <w:r w:rsidR="00A37906">
        <w:t>5</w:t>
      </w:r>
      <w:r>
        <w:t xml:space="preserve">% of samples scoring </w:t>
      </w:r>
      <w:r w:rsidR="0088282F">
        <w:t>5.0</w:t>
      </w:r>
      <w:r>
        <w:t xml:space="preserve"> or higher.  In 2013-14, </w:t>
      </w:r>
      <w:r w:rsidR="00A37906">
        <w:t>45</w:t>
      </w:r>
      <w:r>
        <w:t xml:space="preserve">% of sampled papers received a composite score of </w:t>
      </w:r>
      <w:r w:rsidR="0088282F">
        <w:t>5.0</w:t>
      </w:r>
      <w:r>
        <w:t xml:space="preserve"> or higher.  </w:t>
      </w:r>
    </w:p>
    <w:p w14:paraId="15F8B3A6" w14:textId="1448F7CD" w:rsidR="00ED1453" w:rsidRPr="00A37B72" w:rsidRDefault="00ED1453"/>
    <w:tbl>
      <w:tblPr>
        <w:tblW w:w="6935" w:type="dxa"/>
        <w:jc w:val="center"/>
        <w:tblLook w:val="04A0" w:firstRow="1" w:lastRow="0" w:firstColumn="1" w:lastColumn="0" w:noHBand="0" w:noVBand="1"/>
      </w:tblPr>
      <w:tblGrid>
        <w:gridCol w:w="1895"/>
        <w:gridCol w:w="1530"/>
        <w:gridCol w:w="1620"/>
        <w:gridCol w:w="1890"/>
      </w:tblGrid>
      <w:tr w:rsidR="001E0B6C" w:rsidRPr="00FF4A36" w14:paraId="69CE79E3" w14:textId="77777777" w:rsidTr="0015373F">
        <w:trPr>
          <w:trHeight w:val="221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8C29C3" w14:textId="1844BA23" w:rsidR="001E0B6C" w:rsidRPr="00FF4A36" w:rsidRDefault="001E0B6C" w:rsidP="001F58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F4A3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COMPOSITE</w:t>
            </w:r>
            <w:r w:rsidR="001F58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—1.2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2ADD02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F4A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A6D4DEB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F4A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BCOR 310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53396A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3</w:t>
            </w:r>
          </w:p>
        </w:tc>
      </w:tr>
      <w:tr w:rsidR="001E0B6C" w:rsidRPr="00FF4A36" w14:paraId="4DC00BBC" w14:textId="77777777" w:rsidTr="0015373F">
        <w:trPr>
          <w:trHeight w:val="611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E643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84A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19B174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Total &gt; 5.0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8F6D" w14:textId="356D7748" w:rsidR="001E0B6C" w:rsidRPr="00FF4A36" w:rsidRDefault="009668FE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15373F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E0B6C" w:rsidRPr="00FF4A36" w14:paraId="189CE60B" w14:textId="77777777" w:rsidTr="0015373F">
        <w:trPr>
          <w:trHeight w:val="932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FB8B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F1F1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D27A5A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Acceptable Target  (73%)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9355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  <w:r w:rsidRPr="00FF4A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E0B6C" w:rsidRPr="00FF4A36" w14:paraId="3DDB61EA" w14:textId="77777777" w:rsidTr="0015373F">
        <w:trPr>
          <w:trHeight w:val="439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F662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E4E4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F01F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A151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0B6C" w:rsidRPr="00FF4A36" w14:paraId="43BE053C" w14:textId="77777777" w:rsidTr="0015373F">
        <w:trPr>
          <w:trHeight w:val="746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1E68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351CC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25ED07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Ideal Target (85%)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115D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  <w:r w:rsidRPr="00FF4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B6C" w:rsidRPr="00FF4A36" w14:paraId="7BFBBDE2" w14:textId="77777777" w:rsidTr="0015373F">
        <w:trPr>
          <w:trHeight w:val="710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B093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F92D" w14:textId="77777777" w:rsidR="001E0B6C" w:rsidRPr="00FF4A36" w:rsidRDefault="001E0B6C" w:rsidP="001537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912443" w14:textId="77777777" w:rsidR="001E0B6C" w:rsidRPr="00FF4A36" w:rsidRDefault="001E0B6C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1448" w14:textId="5D5CEC60" w:rsidR="001E0B6C" w:rsidRPr="00FF4A36" w:rsidRDefault="009668FE" w:rsidP="001537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</w:tr>
    </w:tbl>
    <w:p w14:paraId="6E53547A" w14:textId="77777777" w:rsidR="008A359B" w:rsidRDefault="008A359B">
      <w:pPr>
        <w:rPr>
          <w:b/>
        </w:rPr>
      </w:pPr>
    </w:p>
    <w:p w14:paraId="16890230" w14:textId="77777777" w:rsidR="00A65EB1" w:rsidRDefault="00A65EB1">
      <w:pPr>
        <w:rPr>
          <w:b/>
        </w:rPr>
      </w:pPr>
    </w:p>
    <w:p w14:paraId="70CD8F78" w14:textId="77777777" w:rsidR="00391169" w:rsidRDefault="00391169">
      <w:pPr>
        <w:rPr>
          <w:b/>
        </w:rPr>
      </w:pPr>
    </w:p>
    <w:p w14:paraId="1905D52C" w14:textId="77777777" w:rsidR="00391169" w:rsidRDefault="00391169">
      <w:pPr>
        <w:rPr>
          <w:b/>
        </w:rPr>
      </w:pPr>
    </w:p>
    <w:p w14:paraId="3CCC977B" w14:textId="77777777" w:rsidR="00A65EB1" w:rsidRPr="008A359B" w:rsidRDefault="00A65EB1" w:rsidP="00A65EB1">
      <w:r>
        <w:t>SLO 1.3.A</w:t>
      </w:r>
    </w:p>
    <w:p w14:paraId="0FDC1810" w14:textId="25356601" w:rsidR="00A65EB1" w:rsidRDefault="00A65EB1" w:rsidP="00A65EB1">
      <w:r>
        <w:t xml:space="preserve">The QEP report calls for an </w:t>
      </w:r>
      <w:r w:rsidRPr="00967039">
        <w:rPr>
          <w:b/>
        </w:rPr>
        <w:t>acceptable target</w:t>
      </w:r>
      <w:r>
        <w:t xml:space="preserve"> of 7</w:t>
      </w:r>
      <w:r w:rsidR="00A37906">
        <w:t>3</w:t>
      </w:r>
      <w:r>
        <w:t xml:space="preserve">% of samples scoring 2.5 or higher and an </w:t>
      </w:r>
      <w:r w:rsidRPr="00967039">
        <w:rPr>
          <w:b/>
        </w:rPr>
        <w:t>ideal target</w:t>
      </w:r>
      <w:r>
        <w:t xml:space="preserve"> of 8</w:t>
      </w:r>
      <w:r w:rsidR="00A37906">
        <w:t>5</w:t>
      </w:r>
      <w:r>
        <w:t>% of samples scoring 2.5 or higher.  In 2013-14, 5</w:t>
      </w:r>
      <w:r w:rsidR="00A37906">
        <w:t>2</w:t>
      </w:r>
      <w:r>
        <w:t xml:space="preserve">% of sampled papers received a rubric score of 2.5 or higher.  </w:t>
      </w:r>
    </w:p>
    <w:p w14:paraId="2125A8E2" w14:textId="77777777" w:rsidR="00A65EB1" w:rsidRDefault="00A65EB1">
      <w:pPr>
        <w:rPr>
          <w:b/>
        </w:rPr>
      </w:pPr>
    </w:p>
    <w:tbl>
      <w:tblPr>
        <w:tblW w:w="6512" w:type="dxa"/>
        <w:jc w:val="center"/>
        <w:tblLook w:val="04A0" w:firstRow="1" w:lastRow="0" w:firstColumn="1" w:lastColumn="0" w:noHBand="0" w:noVBand="1"/>
      </w:tblPr>
      <w:tblGrid>
        <w:gridCol w:w="1366"/>
        <w:gridCol w:w="1620"/>
        <w:gridCol w:w="1620"/>
        <w:gridCol w:w="1906"/>
      </w:tblGrid>
      <w:tr w:rsidR="00A65EB1" w:rsidRPr="00A65EB1" w14:paraId="76E77B9D" w14:textId="77777777" w:rsidTr="001E0B6C">
        <w:trPr>
          <w:trHeight w:val="286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8EA04C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A65EB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SIX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A84FF5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5E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1.3.A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2BA23D1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65E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BCOR 310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FCEB9A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65E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3</w:t>
            </w:r>
          </w:p>
        </w:tc>
      </w:tr>
      <w:tr w:rsidR="00A65EB1" w:rsidRPr="00A65EB1" w14:paraId="5D0E6EA1" w14:textId="77777777" w:rsidTr="001E0B6C">
        <w:trPr>
          <w:trHeight w:val="368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1BDD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16D" w14:textId="21765FC1" w:rsidR="00A65EB1" w:rsidRPr="00A65EB1" w:rsidRDefault="00CB4408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Evaluate In</w:t>
            </w:r>
            <w:r w:rsidR="00A65EB1" w:rsidRPr="00A65EB1">
              <w:rPr>
                <w:rFonts w:ascii="Calibri" w:eastAsia="Times New Roman" w:hAnsi="Calibri" w:cs="Times New Roman"/>
                <w:color w:val="000000"/>
              </w:rPr>
              <w:t>formation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83CFC7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5EB1">
              <w:rPr>
                <w:rFonts w:ascii="Calibri" w:eastAsia="Times New Roman" w:hAnsi="Calibri" w:cs="Times New Roman"/>
                <w:color w:val="000000"/>
              </w:rPr>
              <w:t>Score &gt; 2.5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F0BE" w14:textId="024168E2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5EB1"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15373F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A65EB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A65EB1" w:rsidRPr="00A65EB1" w14:paraId="42702C00" w14:textId="77777777" w:rsidTr="001E0B6C">
        <w:trPr>
          <w:trHeight w:val="439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CE1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C6EA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7FB620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5EB1">
              <w:rPr>
                <w:rFonts w:ascii="Calibri" w:eastAsia="Times New Roman" w:hAnsi="Calibri" w:cs="Times New Roman"/>
                <w:color w:val="000000"/>
              </w:rPr>
              <w:t>Acceptable Target  (73%)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B4D" w14:textId="6FB79913" w:rsidR="00A65EB1" w:rsidRPr="00A65EB1" w:rsidRDefault="001E0B6C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  <w:r w:rsidR="00A65EB1" w:rsidRPr="00A65E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5EB1" w:rsidRPr="00A65EB1" w14:paraId="2AE83DD5" w14:textId="77777777" w:rsidTr="001E0B6C">
        <w:trPr>
          <w:trHeight w:val="439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CA39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EDED3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74E8D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4260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5EB1" w:rsidRPr="00A65EB1" w14:paraId="17F07CCB" w14:textId="77777777" w:rsidTr="001E0B6C">
        <w:trPr>
          <w:trHeight w:val="859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FDE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6E92C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C11E87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5EB1">
              <w:rPr>
                <w:rFonts w:ascii="Calibri" w:eastAsia="Times New Roman" w:hAnsi="Calibri" w:cs="Times New Roman"/>
                <w:color w:val="000000"/>
              </w:rPr>
              <w:t>Ideal Target (85%)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22E4" w14:textId="717861F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5EB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E0B6C"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A65EB1" w:rsidRPr="00A65EB1" w14:paraId="6319FD5C" w14:textId="77777777" w:rsidTr="001E0B6C">
        <w:trPr>
          <w:trHeight w:val="573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23CD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682F" w14:textId="77777777" w:rsidR="00A65EB1" w:rsidRPr="00A65EB1" w:rsidRDefault="00A65EB1" w:rsidP="00A65EB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F04551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5EB1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F8D6" w14:textId="77777777" w:rsidR="00A65EB1" w:rsidRPr="00A65EB1" w:rsidRDefault="00A65EB1" w:rsidP="00A65E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5EB1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</w:tr>
    </w:tbl>
    <w:p w14:paraId="7299F808" w14:textId="77777777" w:rsidR="00A65EB1" w:rsidRDefault="00A65EB1">
      <w:pPr>
        <w:rPr>
          <w:b/>
        </w:rPr>
      </w:pPr>
    </w:p>
    <w:p w14:paraId="17CD3E86" w14:textId="77777777" w:rsidR="00A65EB1" w:rsidRDefault="00A65EB1">
      <w:pPr>
        <w:rPr>
          <w:b/>
        </w:rPr>
      </w:pPr>
    </w:p>
    <w:p w14:paraId="5E518A21" w14:textId="77777777" w:rsidR="00391169" w:rsidRDefault="00391169" w:rsidP="00A65EB1">
      <w:r>
        <w:br w:type="page"/>
      </w:r>
    </w:p>
    <w:p w14:paraId="3D66E588" w14:textId="30EF1050" w:rsidR="00A65EB1" w:rsidRPr="0088282F" w:rsidRDefault="00A65EB1" w:rsidP="00A65EB1">
      <w:r w:rsidRPr="0088282F">
        <w:lastRenderedPageBreak/>
        <w:t>SLO 1.3.B</w:t>
      </w:r>
    </w:p>
    <w:p w14:paraId="2F806222" w14:textId="6E335112" w:rsidR="00A65EB1" w:rsidRDefault="00A65EB1" w:rsidP="00A65EB1">
      <w:r>
        <w:t xml:space="preserve">The QEP report calls for an </w:t>
      </w:r>
      <w:r w:rsidRPr="00967039">
        <w:rPr>
          <w:b/>
        </w:rPr>
        <w:t>acceptable target</w:t>
      </w:r>
      <w:r>
        <w:t xml:space="preserve"> of 7</w:t>
      </w:r>
      <w:r w:rsidR="00A37906">
        <w:t>3</w:t>
      </w:r>
      <w:r>
        <w:t xml:space="preserve">% of samples scoring 2.5 or higher and an </w:t>
      </w:r>
      <w:r w:rsidRPr="00967039">
        <w:rPr>
          <w:b/>
        </w:rPr>
        <w:t>ideal target</w:t>
      </w:r>
      <w:r>
        <w:t xml:space="preserve"> of 8</w:t>
      </w:r>
      <w:r w:rsidR="00A37906">
        <w:t>5</w:t>
      </w:r>
      <w:r>
        <w:t xml:space="preserve">% of samples scoring 2.5 or higher.  In 2013-14, </w:t>
      </w:r>
      <w:r w:rsidR="00A37906">
        <w:t>5</w:t>
      </w:r>
      <w:r>
        <w:t xml:space="preserve">5% of sampled papers received a rubric score of 2.5 or higher.  </w:t>
      </w:r>
    </w:p>
    <w:p w14:paraId="24DFFA16" w14:textId="77777777" w:rsidR="008A359B" w:rsidRDefault="008A359B">
      <w:pPr>
        <w:rPr>
          <w:b/>
        </w:rPr>
      </w:pPr>
    </w:p>
    <w:tbl>
      <w:tblPr>
        <w:tblW w:w="6503" w:type="dxa"/>
        <w:jc w:val="center"/>
        <w:tblLook w:val="04A0" w:firstRow="1" w:lastRow="0" w:firstColumn="1" w:lastColumn="0" w:noHBand="0" w:noVBand="1"/>
      </w:tblPr>
      <w:tblGrid>
        <w:gridCol w:w="1362"/>
        <w:gridCol w:w="1620"/>
        <w:gridCol w:w="1620"/>
        <w:gridCol w:w="1901"/>
      </w:tblGrid>
      <w:tr w:rsidR="00686A4B" w:rsidRPr="00686A4B" w14:paraId="3C52392C" w14:textId="77777777" w:rsidTr="001E0B6C">
        <w:trPr>
          <w:trHeight w:val="312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41E51C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86A4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SEVEN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FF238A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86A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1.3B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D8349AF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86A4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BCOR 310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AEC898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3</w:t>
            </w:r>
          </w:p>
        </w:tc>
      </w:tr>
      <w:tr w:rsidR="00686A4B" w:rsidRPr="00686A4B" w14:paraId="590461EB" w14:textId="77777777" w:rsidTr="001E0B6C">
        <w:trPr>
          <w:trHeight w:val="530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318A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BD4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</w:rPr>
              <w:t>Use Information for a Purpose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D719D6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</w:rPr>
              <w:t>Score &gt; 2.5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02D4" w14:textId="0449DFC1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</w:rPr>
              <w:t>55</w:t>
            </w:r>
            <w:r w:rsidR="001650E8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686A4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686A4B" w:rsidRPr="00686A4B" w14:paraId="01CB0BB2" w14:textId="77777777" w:rsidTr="001E0B6C">
        <w:trPr>
          <w:trHeight w:val="456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6B96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50C98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077852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</w:rPr>
              <w:t>Acceptable Target  (73%)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C810" w14:textId="1B3B097E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C5D99">
              <w:rPr>
                <w:rFonts w:ascii="Calibri" w:eastAsia="Times New Roman" w:hAnsi="Calibri" w:cs="Times New Roman"/>
                <w:color w:val="000000"/>
              </w:rPr>
              <w:t>Not Met</w:t>
            </w:r>
          </w:p>
        </w:tc>
      </w:tr>
      <w:tr w:rsidR="00686A4B" w:rsidRPr="00686A4B" w14:paraId="1D585D7D" w14:textId="77777777" w:rsidTr="001E0B6C">
        <w:trPr>
          <w:trHeight w:val="456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6522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AF68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F9019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7E567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A4B" w:rsidRPr="00686A4B" w14:paraId="00BCF5C6" w14:textId="77777777" w:rsidTr="001E0B6C">
        <w:trPr>
          <w:trHeight w:val="935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394F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6EAE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F93D3F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</w:rPr>
              <w:t>Ideal Target (85%)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9A3E" w14:textId="42E7F214" w:rsidR="00686A4B" w:rsidRPr="00686A4B" w:rsidRDefault="00FC5D99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  <w:r w:rsidR="00686A4B" w:rsidRPr="00686A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6A4B" w:rsidRPr="00686A4B" w14:paraId="20D31287" w14:textId="77777777" w:rsidTr="001E0B6C">
        <w:trPr>
          <w:trHeight w:val="624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57B6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D675" w14:textId="77777777" w:rsidR="00686A4B" w:rsidRPr="00686A4B" w:rsidRDefault="00686A4B" w:rsidP="00686A4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6C835D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6F4F" w14:textId="77777777" w:rsidR="00686A4B" w:rsidRPr="00686A4B" w:rsidRDefault="00686A4B" w:rsidP="00686A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A4B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</w:tr>
    </w:tbl>
    <w:p w14:paraId="62547C0E" w14:textId="77777777" w:rsidR="009C0C32" w:rsidRDefault="009C0C32">
      <w:pPr>
        <w:rPr>
          <w:b/>
        </w:rPr>
      </w:pPr>
    </w:p>
    <w:p w14:paraId="792CEF3F" w14:textId="77777777" w:rsidR="00391169" w:rsidRDefault="00391169" w:rsidP="00A65EB1"/>
    <w:p w14:paraId="4BE34D3B" w14:textId="77777777" w:rsidR="00391169" w:rsidRDefault="00391169" w:rsidP="00A65EB1"/>
    <w:p w14:paraId="6A16A852" w14:textId="77777777" w:rsidR="00391169" w:rsidRDefault="00391169" w:rsidP="00A65EB1"/>
    <w:p w14:paraId="6117A18E" w14:textId="77777777" w:rsidR="00D71068" w:rsidRDefault="00D71068">
      <w:r>
        <w:t>SLO 1.3 Composite</w:t>
      </w:r>
    </w:p>
    <w:p w14:paraId="21F8433A" w14:textId="629D9DAD" w:rsidR="0088282F" w:rsidRDefault="00A65EB1">
      <w:r>
        <w:t xml:space="preserve">The QEP report calls for a composite score for </w:t>
      </w:r>
      <w:r w:rsidR="00A37906">
        <w:t>5.0</w:t>
      </w:r>
      <w:r>
        <w:t xml:space="preserve"> for SLOs SIX and SEVEN.  An </w:t>
      </w:r>
      <w:r w:rsidRPr="009C0C32">
        <w:rPr>
          <w:b/>
        </w:rPr>
        <w:t>acceptable target</w:t>
      </w:r>
      <w:r>
        <w:t xml:space="preserve"> of 7</w:t>
      </w:r>
      <w:r w:rsidR="00A37906">
        <w:t>3</w:t>
      </w:r>
      <w:r>
        <w:t xml:space="preserve">% of samples scoring 5.0 or higher and an </w:t>
      </w:r>
      <w:r w:rsidRPr="009C0C32">
        <w:rPr>
          <w:b/>
        </w:rPr>
        <w:t>ideal target</w:t>
      </w:r>
      <w:r>
        <w:t xml:space="preserve"> of 8</w:t>
      </w:r>
      <w:r w:rsidR="00A37906">
        <w:t>5</w:t>
      </w:r>
      <w:r>
        <w:t>% of samples scoring 5.0 or higher.  In 2013-14, 4</w:t>
      </w:r>
      <w:r w:rsidR="00A37906">
        <w:t>5</w:t>
      </w:r>
      <w:r>
        <w:t xml:space="preserve">% of sampled papers received a composite score of 5.0 or higher.  </w:t>
      </w:r>
    </w:p>
    <w:p w14:paraId="532C4521" w14:textId="77777777" w:rsidR="00A37906" w:rsidRDefault="00A37906"/>
    <w:tbl>
      <w:tblPr>
        <w:tblW w:w="6935" w:type="dxa"/>
        <w:jc w:val="center"/>
        <w:tblLook w:val="04A0" w:firstRow="1" w:lastRow="0" w:firstColumn="1" w:lastColumn="0" w:noHBand="0" w:noVBand="1"/>
      </w:tblPr>
      <w:tblGrid>
        <w:gridCol w:w="1895"/>
        <w:gridCol w:w="1530"/>
        <w:gridCol w:w="1620"/>
        <w:gridCol w:w="1890"/>
      </w:tblGrid>
      <w:tr w:rsidR="00CB4408" w:rsidRPr="00FF4A36" w14:paraId="04F7FBA8" w14:textId="77777777" w:rsidTr="001E0B6C">
        <w:trPr>
          <w:trHeight w:val="221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685B2F" w14:textId="5033D913" w:rsidR="00FF4A36" w:rsidRPr="00FF4A36" w:rsidRDefault="00FF4A36" w:rsidP="001F58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F4A3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COMPOSITE</w:t>
            </w:r>
            <w:r w:rsidR="001F58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—1.3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7EFE55" w14:textId="77777777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F4A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Obj. 1.3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7B18707" w14:textId="77777777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F4A3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BCOR 310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95FC2C" w14:textId="77777777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3</w:t>
            </w:r>
          </w:p>
        </w:tc>
      </w:tr>
      <w:tr w:rsidR="00CB4408" w:rsidRPr="00FF4A36" w14:paraId="550065FC" w14:textId="77777777" w:rsidTr="001E0B6C">
        <w:trPr>
          <w:trHeight w:val="611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FD13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FB6" w14:textId="77777777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8B7D5F" w14:textId="77777777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Total &gt; 5.0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85F1" w14:textId="723CACF8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1650E8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FF4A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B4408" w:rsidRPr="00FF4A36" w14:paraId="17F90F9A" w14:textId="77777777" w:rsidTr="001E0B6C">
        <w:trPr>
          <w:trHeight w:val="932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312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59F1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705CD5" w14:textId="77777777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Acceptable Target  (73%)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18B" w14:textId="0F5DFDB2" w:rsidR="00FF4A36" w:rsidRPr="00FF4A36" w:rsidRDefault="00A65EB1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  <w:r w:rsidR="00FF4A36" w:rsidRPr="00FF4A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B4408" w:rsidRPr="00FF4A36" w14:paraId="0357FADF" w14:textId="77777777" w:rsidTr="001E0B6C">
        <w:trPr>
          <w:trHeight w:val="439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5552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047B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4565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0108F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4408" w:rsidRPr="00FF4A36" w14:paraId="2FB8BF4C" w14:textId="77777777" w:rsidTr="001E0B6C">
        <w:trPr>
          <w:trHeight w:val="746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E3F9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C055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DE6832" w14:textId="77777777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Ideal Target (85%)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F6B7" w14:textId="23DA5727" w:rsidR="00FF4A36" w:rsidRPr="00FF4A36" w:rsidRDefault="00A65EB1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Not Met</w:t>
            </w:r>
            <w:r w:rsidR="00FF4A36" w:rsidRPr="00FF4A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4408" w:rsidRPr="00FF4A36" w14:paraId="5809DFF3" w14:textId="77777777" w:rsidTr="001E0B6C">
        <w:trPr>
          <w:trHeight w:val="710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80FA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3E3C4" w14:textId="77777777" w:rsidR="00FF4A36" w:rsidRPr="00FF4A36" w:rsidRDefault="00FF4A36" w:rsidP="00FF4A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8C2EC3" w14:textId="77777777" w:rsidR="00FF4A36" w:rsidRPr="00FF4A36" w:rsidRDefault="00FF4A36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A36">
              <w:rPr>
                <w:rFonts w:ascii="Calibri" w:eastAsia="Times New Roman" w:hAnsi="Calibri" w:cs="Times New Roman"/>
                <w:color w:val="000000"/>
              </w:rPr>
              <w:t>Average of all samples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E2C2" w14:textId="6B417004" w:rsidR="00FF4A36" w:rsidRPr="00FF4A36" w:rsidRDefault="00FC5D99" w:rsidP="00FF4A3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A65EB1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F4A36" w:rsidRPr="00FF4A3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14:paraId="0CCAEC36" w14:textId="77777777" w:rsidR="009369BD" w:rsidRDefault="009369BD"/>
    <w:p w14:paraId="5FD48A77" w14:textId="77777777" w:rsidR="009369BD" w:rsidRDefault="009369BD"/>
    <w:p w14:paraId="77D0CF91" w14:textId="77777777" w:rsidR="009369BD" w:rsidRDefault="009369BD"/>
    <w:p w14:paraId="02445478" w14:textId="77777777" w:rsidR="00391169" w:rsidRDefault="00391169">
      <w:pPr>
        <w:rPr>
          <w:b/>
        </w:rPr>
      </w:pPr>
    </w:p>
    <w:p w14:paraId="6406AC89" w14:textId="77777777" w:rsidR="00391169" w:rsidRDefault="00391169">
      <w:pPr>
        <w:rPr>
          <w:b/>
        </w:rPr>
      </w:pPr>
    </w:p>
    <w:p w14:paraId="07981700" w14:textId="77777777" w:rsidR="00D71068" w:rsidRDefault="00D71068">
      <w:pPr>
        <w:rPr>
          <w:b/>
        </w:rPr>
      </w:pPr>
      <w:r>
        <w:rPr>
          <w:b/>
        </w:rPr>
        <w:br w:type="page"/>
      </w:r>
    </w:p>
    <w:p w14:paraId="424DEEB0" w14:textId="658E25CF" w:rsidR="007379A0" w:rsidRDefault="00F75677">
      <w:pPr>
        <w:rPr>
          <w:b/>
        </w:rPr>
      </w:pPr>
      <w:r>
        <w:rPr>
          <w:b/>
        </w:rPr>
        <w:lastRenderedPageBreak/>
        <w:t>Factors I</w:t>
      </w:r>
      <w:r w:rsidR="004A2853">
        <w:rPr>
          <w:b/>
        </w:rPr>
        <w:t xml:space="preserve">mpacting </w:t>
      </w:r>
      <w:r>
        <w:rPr>
          <w:b/>
        </w:rPr>
        <w:t>the 2013-14 A</w:t>
      </w:r>
      <w:r w:rsidR="004A2853">
        <w:rPr>
          <w:b/>
        </w:rPr>
        <w:t>ssessment</w:t>
      </w:r>
    </w:p>
    <w:p w14:paraId="20B7F3CD" w14:textId="2E8F493B" w:rsidR="009369BD" w:rsidRDefault="00365EBF" w:rsidP="00D71068">
      <w:pPr>
        <w:ind w:left="360"/>
      </w:pPr>
      <w:r>
        <w:rPr>
          <w:b/>
        </w:rPr>
        <w:t>Inconsistencies in Writing Assignment across Sections</w:t>
      </w:r>
      <w:r w:rsidR="007379A0">
        <w:rPr>
          <w:b/>
        </w:rPr>
        <w:t xml:space="preserve">. </w:t>
      </w:r>
      <w:r>
        <w:t>The prompts from each section of BCOR were made availabl</w:t>
      </w:r>
      <w:r w:rsidR="007A7488">
        <w:t>e for the assessment team, so the team</w:t>
      </w:r>
      <w:r>
        <w:t xml:space="preserve"> knew before the assessment there was</w:t>
      </w:r>
      <w:r w:rsidR="00C62EC1">
        <w:t xml:space="preserve"> considerable</w:t>
      </w:r>
      <w:r>
        <w:t xml:space="preserve"> variation in the prompts across sections. </w:t>
      </w:r>
      <w:r w:rsidR="00C62EC1">
        <w:t>Given the variability in prompts, t</w:t>
      </w:r>
      <w:r w:rsidR="00A65EB1">
        <w:t xml:space="preserve">he types of research </w:t>
      </w:r>
      <w:r w:rsidR="00BB50E9">
        <w:t xml:space="preserve">required </w:t>
      </w:r>
      <w:r w:rsidR="00A65EB1">
        <w:t xml:space="preserve">in </w:t>
      </w:r>
      <w:r w:rsidR="00BB50E9">
        <w:t xml:space="preserve">different BCOR </w:t>
      </w:r>
      <w:r w:rsidR="00A65EB1">
        <w:t>section</w:t>
      </w:r>
      <w:r w:rsidR="00BB50E9">
        <w:t>s</w:t>
      </w:r>
      <w:r w:rsidR="00A65EB1">
        <w:t xml:space="preserve"> were </w:t>
      </w:r>
      <w:r w:rsidR="00BB0DB6">
        <w:t>quite different, and the materials used for research varied significantly. In the next year</w:t>
      </w:r>
      <w:r w:rsidR="00C62EC1">
        <w:t>,</w:t>
      </w:r>
      <w:r w:rsidR="00BB0DB6">
        <w:t xml:space="preserve"> it is urg</w:t>
      </w:r>
      <w:r w:rsidR="001E0B6C">
        <w:t>ed that the instructors develop</w:t>
      </w:r>
      <w:r w:rsidR="00BB0DB6">
        <w:t xml:space="preserve"> a more uniform research assignment. </w:t>
      </w:r>
      <w:r w:rsidR="00BB50E9">
        <w:t xml:space="preserve">We believe that this will lessen the variability observed across sections, and equalize the type of research students need to perform for this assignment. </w:t>
      </w:r>
    </w:p>
    <w:p w14:paraId="1DDB56BB" w14:textId="77777777" w:rsidR="00365EBF" w:rsidRDefault="00365EBF" w:rsidP="00D71068">
      <w:pPr>
        <w:ind w:left="720" w:hanging="360"/>
      </w:pPr>
    </w:p>
    <w:p w14:paraId="73FF7910" w14:textId="2CDCBCBC" w:rsidR="00495003" w:rsidRDefault="004A2853" w:rsidP="00D71068">
      <w:pPr>
        <w:ind w:left="360"/>
      </w:pPr>
      <w:r>
        <w:rPr>
          <w:b/>
        </w:rPr>
        <w:t xml:space="preserve">Carryover from Previous Courses. </w:t>
      </w:r>
      <w:r w:rsidR="00BB0DB6">
        <w:t xml:space="preserve">It is surprising, and disappointing, that the </w:t>
      </w:r>
      <w:r w:rsidR="005F23DE">
        <w:t xml:space="preserve">skills evaluated in Objective 1 did not carry over from previous </w:t>
      </w:r>
      <w:r w:rsidR="00C62EC1">
        <w:t>courses, which</w:t>
      </w:r>
      <w:r w:rsidR="005F23DE">
        <w:t xml:space="preserve"> had taught those skills.</w:t>
      </w:r>
    </w:p>
    <w:p w14:paraId="3794DB1E" w14:textId="77777777" w:rsidR="009C0C32" w:rsidRDefault="009C0C32">
      <w:pPr>
        <w:rPr>
          <w:b/>
        </w:rPr>
      </w:pPr>
    </w:p>
    <w:p w14:paraId="02DC07B6" w14:textId="75EB9B09" w:rsidR="005F23DE" w:rsidRDefault="00FB0B4D" w:rsidP="005F23DE">
      <w:r w:rsidRPr="00967039">
        <w:rPr>
          <w:b/>
        </w:rPr>
        <w:t>Recommendations</w:t>
      </w:r>
      <w:r>
        <w:t xml:space="preserve"> </w:t>
      </w:r>
    </w:p>
    <w:p w14:paraId="2E85C188" w14:textId="263DBC00" w:rsidR="005F23DE" w:rsidRDefault="00626687" w:rsidP="00D71068">
      <w:pPr>
        <w:ind w:left="360"/>
      </w:pPr>
      <w:r>
        <w:t>The assessment team has suggestions</w:t>
      </w:r>
      <w:r w:rsidR="005F23DE">
        <w:t xml:space="preserve"> for the </w:t>
      </w:r>
      <w:r w:rsidR="00D71068">
        <w:t xml:space="preserve">course in 2014-15, </w:t>
      </w:r>
      <w:r w:rsidR="008C3B26">
        <w:t xml:space="preserve"> recognizing that </w:t>
      </w:r>
      <w:r w:rsidR="00365EBF">
        <w:t xml:space="preserve">2013-2014 </w:t>
      </w:r>
      <w:r w:rsidR="008C3B26">
        <w:t>was the first year for the full availability of the course</w:t>
      </w:r>
      <w:r w:rsidR="00D71068">
        <w:t>. Thus, it is recommended the following revisions be made:</w:t>
      </w:r>
    </w:p>
    <w:p w14:paraId="651C1354" w14:textId="16EEB65D" w:rsidR="002A4559" w:rsidRPr="007A7488" w:rsidRDefault="002A4559" w:rsidP="00D71068">
      <w:pPr>
        <w:ind w:hanging="360"/>
        <w:rPr>
          <w:b/>
        </w:rPr>
      </w:pPr>
    </w:p>
    <w:p w14:paraId="627EF082" w14:textId="0FAF0368" w:rsidR="00F8578F" w:rsidRDefault="001F5855" w:rsidP="007A7488">
      <w:pPr>
        <w:pStyle w:val="ListParagraph"/>
        <w:numPr>
          <w:ilvl w:val="0"/>
          <w:numId w:val="12"/>
        </w:numPr>
      </w:pPr>
      <w:r>
        <w:t>It is strongly recommended for f</w:t>
      </w:r>
      <w:r w:rsidR="00D71068">
        <w:t xml:space="preserve">aculty </w:t>
      </w:r>
      <w:r>
        <w:t xml:space="preserve">to </w:t>
      </w:r>
      <w:r w:rsidR="00F8578F">
        <w:t xml:space="preserve">create a signature research assignment that aligns with the </w:t>
      </w:r>
      <w:r w:rsidR="00D71068">
        <w:t>“</w:t>
      </w:r>
      <w:r w:rsidR="00F8578F">
        <w:t>big ideas</w:t>
      </w:r>
      <w:r w:rsidR="00D71068">
        <w:t>”</w:t>
      </w:r>
      <w:r w:rsidR="00F8578F">
        <w:t xml:space="preserve"> for the learning outcomes of the course.</w:t>
      </w:r>
      <w:r>
        <w:t xml:space="preserve"> </w:t>
      </w:r>
      <w:r w:rsidR="00F8578F">
        <w:t xml:space="preserve"> A common prompt crafted by the faculty for the signature assignment should then be utilized for all sections of BCOR 310. </w:t>
      </w:r>
    </w:p>
    <w:p w14:paraId="1BAE3B36" w14:textId="77777777" w:rsidR="00F8578F" w:rsidRPr="000274F9" w:rsidRDefault="00F8578F" w:rsidP="00F8578F"/>
    <w:p w14:paraId="4288A379" w14:textId="0B217947" w:rsidR="00B513A5" w:rsidRDefault="002A4559" w:rsidP="007A7488">
      <w:pPr>
        <w:pStyle w:val="ListParagraph"/>
        <w:numPr>
          <w:ilvl w:val="0"/>
          <w:numId w:val="12"/>
        </w:numPr>
      </w:pPr>
      <w:r w:rsidRPr="000274F9">
        <w:t>Submit papers to the Pursuit off</w:t>
      </w:r>
      <w:r w:rsidR="00F8578F">
        <w:t xml:space="preserve">ice on the last day of classes or on Dead </w:t>
      </w:r>
      <w:r w:rsidR="004A2853">
        <w:t>Day</w:t>
      </w:r>
      <w:r w:rsidR="004A2853" w:rsidRPr="000274F9">
        <w:t xml:space="preserve"> to</w:t>
      </w:r>
      <w:r w:rsidRPr="000274F9">
        <w:t xml:space="preserve"> facilitate a timely assessment process.  </w:t>
      </w:r>
    </w:p>
    <w:p w14:paraId="18C5CD40" w14:textId="77777777" w:rsidR="001650E8" w:rsidRDefault="001650E8" w:rsidP="00194362"/>
    <w:p w14:paraId="5AAB13C4" w14:textId="2BE586F3" w:rsidR="008F32CF" w:rsidRDefault="007D08B8" w:rsidP="007A7488">
      <w:pPr>
        <w:pStyle w:val="ListParagraph"/>
        <w:numPr>
          <w:ilvl w:val="0"/>
          <w:numId w:val="12"/>
        </w:numPr>
      </w:pPr>
      <w:r>
        <w:t>Content of p</w:t>
      </w:r>
      <w:r w:rsidR="008F32CF">
        <w:t>apers</w:t>
      </w:r>
      <w:r>
        <w:t xml:space="preserve"> </w:t>
      </w:r>
      <w:r w:rsidR="00B513A5">
        <w:t>needs to be addressed.</w:t>
      </w:r>
      <w:r>
        <w:t xml:space="preserve"> </w:t>
      </w:r>
    </w:p>
    <w:p w14:paraId="5A70C645" w14:textId="319CB829" w:rsidR="001650E8" w:rsidRDefault="008F32CF" w:rsidP="007A7488">
      <w:pPr>
        <w:pStyle w:val="ListParagraph"/>
        <w:numPr>
          <w:ilvl w:val="0"/>
          <w:numId w:val="13"/>
        </w:numPr>
      </w:pPr>
      <w:r>
        <w:t>Prompts need to be very clear and specific (more than a topic)</w:t>
      </w:r>
      <w:r w:rsidR="007D08B8">
        <w:t>.</w:t>
      </w:r>
    </w:p>
    <w:p w14:paraId="63BD2D35" w14:textId="797CEB75" w:rsidR="001650E8" w:rsidRDefault="008F32CF" w:rsidP="007A7488">
      <w:pPr>
        <w:pStyle w:val="ListParagraph"/>
        <w:numPr>
          <w:ilvl w:val="0"/>
          <w:numId w:val="13"/>
        </w:numPr>
      </w:pPr>
      <w:r>
        <w:t>Emphasize the vital role of a</w:t>
      </w:r>
      <w:r w:rsidR="00365EBF">
        <w:t xml:space="preserve"> thesis statement and a</w:t>
      </w:r>
      <w:r>
        <w:t>n introductory paragraph</w:t>
      </w:r>
      <w:r w:rsidR="00365EBF">
        <w:t>. Ask students to turn in their thesis statement for the paper well in advance of t</w:t>
      </w:r>
      <w:r w:rsidR="00D71068">
        <w:t>he due date for the final paper so that faculty can make suggestions for revisions</w:t>
      </w:r>
      <w:r w:rsidR="002D2D03">
        <w:t xml:space="preserve">. </w:t>
      </w:r>
    </w:p>
    <w:p w14:paraId="70222A74" w14:textId="7F8AE9FD" w:rsidR="008F32CF" w:rsidRDefault="008F32CF" w:rsidP="007A7488">
      <w:pPr>
        <w:pStyle w:val="ListParagraph"/>
        <w:numPr>
          <w:ilvl w:val="0"/>
          <w:numId w:val="13"/>
        </w:numPr>
      </w:pPr>
      <w:r>
        <w:t>If the paper involves a movie, explain how the movie relates to the research project.  Too many papers were movie summaries or reviews.  (Suggesti</w:t>
      </w:r>
      <w:r w:rsidR="002D2D03">
        <w:t>on:</w:t>
      </w:r>
      <w:r>
        <w:t xml:space="preserve"> have student</w:t>
      </w:r>
      <w:r w:rsidR="002D2D03">
        <w:t>s</w:t>
      </w:r>
      <w:r>
        <w:t xml:space="preserve"> locate </w:t>
      </w:r>
      <w:r w:rsidR="002D2D03">
        <w:t>issues raised in the movie;</w:t>
      </w:r>
      <w:r>
        <w:t xml:space="preserve"> research and discuss these issues.  Use the mo</w:t>
      </w:r>
      <w:r w:rsidR="002D2D03">
        <w:t>vie to illustrate these issues.)</w:t>
      </w:r>
    </w:p>
    <w:p w14:paraId="710AEA65" w14:textId="6C438D8C" w:rsidR="000F48A1" w:rsidRDefault="002D2D03" w:rsidP="000F48A1">
      <w:pPr>
        <w:pStyle w:val="ListParagraph"/>
        <w:numPr>
          <w:ilvl w:val="0"/>
          <w:numId w:val="13"/>
        </w:numPr>
      </w:pPr>
      <w:r>
        <w:t>Specify the minimum</w:t>
      </w:r>
      <w:r w:rsidR="000F48A1">
        <w:t xml:space="preserve"> number </w:t>
      </w:r>
      <w:r>
        <w:t xml:space="preserve">and academic quality of sources required by all faculty teaching the course. </w:t>
      </w:r>
      <w:r>
        <w:br/>
        <w:t>(M</w:t>
      </w:r>
      <w:r w:rsidR="000F48A1">
        <w:t>any students do not understand what “academic” means. If the paper involves a movie, the movie and movie reviews do not count as an academic source.)</w:t>
      </w:r>
    </w:p>
    <w:p w14:paraId="10848444" w14:textId="77777777" w:rsidR="001650E8" w:rsidRDefault="001650E8" w:rsidP="000F48A1"/>
    <w:p w14:paraId="0415E350" w14:textId="77777777" w:rsidR="007A7488" w:rsidRDefault="007A7488" w:rsidP="007A7488">
      <w:pPr>
        <w:pStyle w:val="ListParagraph"/>
        <w:numPr>
          <w:ilvl w:val="0"/>
          <w:numId w:val="12"/>
        </w:numPr>
      </w:pPr>
      <w:r>
        <w:t xml:space="preserve">Formatting of the papers should be considered for assistance in the assessment of the papers. </w:t>
      </w:r>
    </w:p>
    <w:p w14:paraId="6D2F6113" w14:textId="344C1699" w:rsidR="002D2D03" w:rsidRDefault="002D2D03" w:rsidP="002D2D03">
      <w:pPr>
        <w:pStyle w:val="ListParagraph"/>
        <w:numPr>
          <w:ilvl w:val="0"/>
          <w:numId w:val="17"/>
        </w:numPr>
      </w:pPr>
      <w:r>
        <w:t>The documents are to be saved as</w:t>
      </w:r>
      <w:r w:rsidR="00626687">
        <w:t xml:space="preserve"> a PDF for submission</w:t>
      </w:r>
      <w:r>
        <w:t xml:space="preserve">. </w:t>
      </w:r>
    </w:p>
    <w:p w14:paraId="686302CA" w14:textId="2FA63F6E" w:rsidR="00626687" w:rsidRDefault="00626687" w:rsidP="002D2D03">
      <w:pPr>
        <w:pStyle w:val="ListParagraph"/>
        <w:numPr>
          <w:ilvl w:val="0"/>
          <w:numId w:val="17"/>
        </w:numPr>
      </w:pPr>
      <w:r>
        <w:lastRenderedPageBreak/>
        <w:t xml:space="preserve">A heading on the upper right hand of the first page that contains the student’s Banner ID and the citation style (MLA or APA only). </w:t>
      </w:r>
    </w:p>
    <w:p w14:paraId="660BA919" w14:textId="77777777" w:rsidR="00626687" w:rsidRDefault="00626687" w:rsidP="00626687">
      <w:pPr>
        <w:pStyle w:val="ListParagraph"/>
        <w:ind w:left="1080"/>
      </w:pPr>
    </w:p>
    <w:p w14:paraId="267BAEF3" w14:textId="297D48EB" w:rsidR="00F8578F" w:rsidRDefault="002D2D03" w:rsidP="004A2853">
      <w:pPr>
        <w:pStyle w:val="ListParagraph"/>
        <w:numPr>
          <w:ilvl w:val="0"/>
          <w:numId w:val="16"/>
        </w:numPr>
      </w:pPr>
      <w:r>
        <w:t>The Banner ID on the first page is the only student information. N</w:t>
      </w:r>
      <w:r w:rsidR="00F8578F">
        <w:t xml:space="preserve">o </w:t>
      </w:r>
      <w:r>
        <w:t xml:space="preserve">other identifiable information should be included on the paper (student’s name, </w:t>
      </w:r>
      <w:r w:rsidR="00F8578F">
        <w:t xml:space="preserve"> </w:t>
      </w:r>
      <w:r>
        <w:t xml:space="preserve">department, instructor, course, etc. should not on the paper.)  </w:t>
      </w:r>
    </w:p>
    <w:p w14:paraId="52298131" w14:textId="1D4E0B32" w:rsidR="004A2853" w:rsidRDefault="004A2853" w:rsidP="004A2853">
      <w:pPr>
        <w:pStyle w:val="ListParagraph"/>
        <w:numPr>
          <w:ilvl w:val="0"/>
          <w:numId w:val="16"/>
        </w:numPr>
      </w:pPr>
      <w:r>
        <w:t xml:space="preserve">Submit the documents to the Pursuit Office as a PDF on the flash drive provided to faculty. </w:t>
      </w:r>
    </w:p>
    <w:p w14:paraId="56BE1C39" w14:textId="75F4C838" w:rsidR="007A7488" w:rsidRDefault="00F8578F" w:rsidP="004A2853">
      <w:pPr>
        <w:pStyle w:val="ListParagraph"/>
        <w:numPr>
          <w:ilvl w:val="0"/>
          <w:numId w:val="16"/>
        </w:numPr>
      </w:pPr>
      <w:r>
        <w:t>P</w:t>
      </w:r>
      <w:r w:rsidR="007A7488">
        <w:t xml:space="preserve">apers should be </w:t>
      </w:r>
      <w:r w:rsidR="00626687">
        <w:t xml:space="preserve">an appropriate 11 or </w:t>
      </w:r>
      <w:r w:rsidR="007A7488">
        <w:t>12-point font</w:t>
      </w:r>
      <w:r w:rsidR="00626687">
        <w:t xml:space="preserve"> for the main text</w:t>
      </w:r>
      <w:r w:rsidR="007A7488">
        <w:t>.</w:t>
      </w:r>
    </w:p>
    <w:p w14:paraId="564D9E55" w14:textId="77777777" w:rsidR="007A7488" w:rsidRDefault="007A7488" w:rsidP="004A2853">
      <w:pPr>
        <w:pStyle w:val="ListParagraph"/>
        <w:numPr>
          <w:ilvl w:val="0"/>
          <w:numId w:val="16"/>
        </w:numPr>
      </w:pPr>
      <w:r>
        <w:t>Pages should be numbered.</w:t>
      </w:r>
    </w:p>
    <w:p w14:paraId="7AC004BB" w14:textId="6D0B7FB6" w:rsidR="007A7488" w:rsidRDefault="004A2853" w:rsidP="004A2853">
      <w:pPr>
        <w:pStyle w:val="ListParagraph"/>
        <w:numPr>
          <w:ilvl w:val="0"/>
          <w:numId w:val="16"/>
        </w:numPr>
      </w:pPr>
      <w:r>
        <w:t>All</w:t>
      </w:r>
      <w:r w:rsidR="007A7488">
        <w:t xml:space="preserve"> </w:t>
      </w:r>
      <w:r>
        <w:t>students</w:t>
      </w:r>
      <w:r w:rsidR="007A7488">
        <w:t xml:space="preserve"> </w:t>
      </w:r>
      <w:r>
        <w:t>should use</w:t>
      </w:r>
      <w:r w:rsidR="007A7488">
        <w:t xml:space="preserve"> APA or MLA </w:t>
      </w:r>
      <w:r w:rsidR="002D2D03">
        <w:t xml:space="preserve">citation </w:t>
      </w:r>
      <w:r w:rsidR="007A7488">
        <w:t xml:space="preserve">style for their papers. </w:t>
      </w:r>
    </w:p>
    <w:p w14:paraId="3BB618F6" w14:textId="77777777" w:rsidR="00626687" w:rsidRDefault="00626687" w:rsidP="00626687"/>
    <w:p w14:paraId="5413523C" w14:textId="76160AA9" w:rsidR="00626687" w:rsidRDefault="00626687" w:rsidP="00626687">
      <w:pPr>
        <w:pStyle w:val="ListParagraph"/>
        <w:numPr>
          <w:ilvl w:val="0"/>
          <w:numId w:val="12"/>
        </w:numPr>
      </w:pPr>
      <w:r>
        <w:t xml:space="preserve">Suggested Submission Details </w:t>
      </w:r>
    </w:p>
    <w:p w14:paraId="46A3ECAF" w14:textId="22F70FCD" w:rsidR="00626687" w:rsidRDefault="00626687" w:rsidP="00626687">
      <w:pPr>
        <w:pStyle w:val="ListParagraph"/>
        <w:numPr>
          <w:ilvl w:val="0"/>
          <w:numId w:val="18"/>
        </w:numPr>
      </w:pPr>
      <w:r>
        <w:t xml:space="preserve">Place ungraded papers on the flash drive provided to you by the Pursuit Office. </w:t>
      </w:r>
    </w:p>
    <w:p w14:paraId="7A2CC7B9" w14:textId="1B371788" w:rsidR="00626687" w:rsidRDefault="00626687" w:rsidP="00626687">
      <w:pPr>
        <w:pStyle w:val="ListParagraph"/>
        <w:numPr>
          <w:ilvl w:val="0"/>
          <w:numId w:val="18"/>
        </w:numPr>
      </w:pPr>
      <w:r>
        <w:t>Submit the flash drives to the Pursuit on or before 5 pm on Dead Day (December 8, 2014).</w:t>
      </w:r>
    </w:p>
    <w:p w14:paraId="2B8E6B17" w14:textId="0347C652" w:rsidR="00626687" w:rsidRDefault="00626687" w:rsidP="00626687">
      <w:pPr>
        <w:pStyle w:val="ListParagraph"/>
        <w:numPr>
          <w:ilvl w:val="0"/>
          <w:numId w:val="18"/>
        </w:numPr>
      </w:pPr>
      <w:r>
        <w:t>Have students name the file in the following  format:</w:t>
      </w:r>
    </w:p>
    <w:p w14:paraId="11AF0B0E" w14:textId="72F2924B" w:rsidR="00626687" w:rsidRPr="00626687" w:rsidRDefault="00626687" w:rsidP="00626687">
      <w:pPr>
        <w:ind w:left="1440"/>
        <w:rPr>
          <w:b/>
        </w:rPr>
      </w:pPr>
      <w:r>
        <w:rPr>
          <w:b/>
        </w:rPr>
        <w:t>Last_First_bannerid.pdf</w:t>
      </w:r>
    </w:p>
    <w:p w14:paraId="4549E8D8" w14:textId="77777777" w:rsidR="004A2853" w:rsidRDefault="004A2853" w:rsidP="004A2853"/>
    <w:p w14:paraId="0C62374B" w14:textId="1A847186" w:rsidR="004A2853" w:rsidRDefault="001F5855" w:rsidP="00626687">
      <w:pPr>
        <w:pStyle w:val="ListParagraph"/>
        <w:numPr>
          <w:ilvl w:val="0"/>
          <w:numId w:val="12"/>
        </w:numPr>
      </w:pPr>
      <w:r>
        <w:t>Submit w</w:t>
      </w:r>
      <w:r w:rsidR="004A2853" w:rsidRPr="000274F9">
        <w:t xml:space="preserve">riting prompts from all sections of </w:t>
      </w:r>
      <w:r w:rsidR="004A2853">
        <w:t>BCOR 310</w:t>
      </w:r>
      <w:r w:rsidR="004A2853" w:rsidRPr="000274F9">
        <w:t xml:space="preserve"> </w:t>
      </w:r>
      <w:r w:rsidR="004A2853">
        <w:t xml:space="preserve">and </w:t>
      </w:r>
      <w:r>
        <w:t>provide them</w:t>
      </w:r>
      <w:r w:rsidR="004A2853">
        <w:t xml:space="preserve"> </w:t>
      </w:r>
      <w:r w:rsidR="004A2853" w:rsidRPr="000274F9">
        <w:t xml:space="preserve">to </w:t>
      </w:r>
      <w:r w:rsidR="004A2853">
        <w:t xml:space="preserve">the assessment </w:t>
      </w:r>
      <w:r w:rsidR="004A2853" w:rsidRPr="000274F9">
        <w:t xml:space="preserve">team prior to </w:t>
      </w:r>
      <w:r>
        <w:t xml:space="preserve">the </w:t>
      </w:r>
      <w:r w:rsidR="004A2853" w:rsidRPr="000274F9">
        <w:t>assessment process.</w:t>
      </w:r>
    </w:p>
    <w:p w14:paraId="58F8F2BC" w14:textId="320560CD" w:rsidR="001650E8" w:rsidRPr="001650E8" w:rsidRDefault="001650E8" w:rsidP="00626687">
      <w:pPr>
        <w:pStyle w:val="ListParagraph"/>
        <w:ind w:left="1080"/>
      </w:pPr>
    </w:p>
    <w:sectPr w:rsidR="001650E8" w:rsidRPr="001650E8" w:rsidSect="00D7106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A06C" w14:textId="77777777" w:rsidR="00F75677" w:rsidRDefault="00F75677" w:rsidP="00A84B0C">
      <w:r>
        <w:separator/>
      </w:r>
    </w:p>
  </w:endnote>
  <w:endnote w:type="continuationSeparator" w:id="0">
    <w:p w14:paraId="34475BAD" w14:textId="77777777" w:rsidR="00F75677" w:rsidRDefault="00F75677" w:rsidP="00A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09CA" w14:textId="77777777" w:rsidR="00F75677" w:rsidRDefault="00F75677" w:rsidP="00A84B0C">
      <w:r>
        <w:separator/>
      </w:r>
    </w:p>
  </w:footnote>
  <w:footnote w:type="continuationSeparator" w:id="0">
    <w:p w14:paraId="795F9454" w14:textId="77777777" w:rsidR="00F75677" w:rsidRDefault="00F75677" w:rsidP="00A84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F2F56" w14:textId="0A7AF20A" w:rsidR="005B5C86" w:rsidRPr="005B5C86" w:rsidRDefault="005B5C86" w:rsidP="005B5C86">
    <w:pPr>
      <w:pStyle w:val="Header"/>
      <w:jc w:val="center"/>
      <w:rPr>
        <w:rFonts w:ascii="Arial" w:hAnsi="Arial"/>
        <w:sz w:val="16"/>
        <w:szCs w:val="16"/>
      </w:rPr>
    </w:pPr>
    <w:r w:rsidRPr="005B5C86">
      <w:rPr>
        <w:rFonts w:ascii="Arial" w:hAnsi="Arial"/>
        <w:sz w:val="16"/>
        <w:szCs w:val="16"/>
      </w:rPr>
      <w:t>Appendix 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099"/>
    <w:multiLevelType w:val="hybridMultilevel"/>
    <w:tmpl w:val="6E2873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D1897"/>
    <w:multiLevelType w:val="hybridMultilevel"/>
    <w:tmpl w:val="42F89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97376"/>
    <w:multiLevelType w:val="hybridMultilevel"/>
    <w:tmpl w:val="76202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54DF"/>
    <w:multiLevelType w:val="hybridMultilevel"/>
    <w:tmpl w:val="B068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909B2"/>
    <w:multiLevelType w:val="hybridMultilevel"/>
    <w:tmpl w:val="4CBE9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B53C2"/>
    <w:multiLevelType w:val="hybridMultilevel"/>
    <w:tmpl w:val="1932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AC3BD3"/>
    <w:multiLevelType w:val="hybridMultilevel"/>
    <w:tmpl w:val="0F20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6D91"/>
    <w:multiLevelType w:val="hybridMultilevel"/>
    <w:tmpl w:val="0798C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A3242"/>
    <w:multiLevelType w:val="hybridMultilevel"/>
    <w:tmpl w:val="78BA0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221B9"/>
    <w:multiLevelType w:val="hybridMultilevel"/>
    <w:tmpl w:val="BA0A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C0606"/>
    <w:multiLevelType w:val="hybridMultilevel"/>
    <w:tmpl w:val="4B38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14858"/>
    <w:multiLevelType w:val="hybridMultilevel"/>
    <w:tmpl w:val="628E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5CBE"/>
    <w:multiLevelType w:val="hybridMultilevel"/>
    <w:tmpl w:val="58ECE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1779D"/>
    <w:multiLevelType w:val="hybridMultilevel"/>
    <w:tmpl w:val="2ED29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145896"/>
    <w:multiLevelType w:val="hybridMultilevel"/>
    <w:tmpl w:val="553A0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9772FE"/>
    <w:multiLevelType w:val="hybridMultilevel"/>
    <w:tmpl w:val="8AD4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E01"/>
    <w:multiLevelType w:val="hybridMultilevel"/>
    <w:tmpl w:val="F2544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76F99"/>
    <w:multiLevelType w:val="hybridMultilevel"/>
    <w:tmpl w:val="28103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B2614A"/>
    <w:multiLevelType w:val="hybridMultilevel"/>
    <w:tmpl w:val="1AB4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2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D"/>
    <w:rsid w:val="00026BAD"/>
    <w:rsid w:val="000274F9"/>
    <w:rsid w:val="00031C3A"/>
    <w:rsid w:val="000E35F0"/>
    <w:rsid w:val="000F43BC"/>
    <w:rsid w:val="000F48A1"/>
    <w:rsid w:val="0015373F"/>
    <w:rsid w:val="00164A97"/>
    <w:rsid w:val="001650E8"/>
    <w:rsid w:val="00165268"/>
    <w:rsid w:val="00172BD0"/>
    <w:rsid w:val="00174BE1"/>
    <w:rsid w:val="00180981"/>
    <w:rsid w:val="00194362"/>
    <w:rsid w:val="001E0B6C"/>
    <w:rsid w:val="001F3FDE"/>
    <w:rsid w:val="001F5855"/>
    <w:rsid w:val="00236B5E"/>
    <w:rsid w:val="0024494D"/>
    <w:rsid w:val="002478CB"/>
    <w:rsid w:val="002640C5"/>
    <w:rsid w:val="0027141D"/>
    <w:rsid w:val="002A4559"/>
    <w:rsid w:val="002D2D03"/>
    <w:rsid w:val="002F1536"/>
    <w:rsid w:val="00323AF4"/>
    <w:rsid w:val="00363658"/>
    <w:rsid w:val="00365EBF"/>
    <w:rsid w:val="00391169"/>
    <w:rsid w:val="003A3B97"/>
    <w:rsid w:val="003B1453"/>
    <w:rsid w:val="00417F26"/>
    <w:rsid w:val="00452174"/>
    <w:rsid w:val="00495003"/>
    <w:rsid w:val="004A2853"/>
    <w:rsid w:val="004D49AA"/>
    <w:rsid w:val="004F0831"/>
    <w:rsid w:val="00542625"/>
    <w:rsid w:val="00547A06"/>
    <w:rsid w:val="005930AD"/>
    <w:rsid w:val="005B2196"/>
    <w:rsid w:val="005B4219"/>
    <w:rsid w:val="005B5C86"/>
    <w:rsid w:val="005F23DE"/>
    <w:rsid w:val="0061531A"/>
    <w:rsid w:val="00626687"/>
    <w:rsid w:val="00651C70"/>
    <w:rsid w:val="00686A4B"/>
    <w:rsid w:val="00696BBE"/>
    <w:rsid w:val="006F1B58"/>
    <w:rsid w:val="00717D75"/>
    <w:rsid w:val="007379A0"/>
    <w:rsid w:val="007A3038"/>
    <w:rsid w:val="007A7488"/>
    <w:rsid w:val="007D08B8"/>
    <w:rsid w:val="007D7701"/>
    <w:rsid w:val="0080455A"/>
    <w:rsid w:val="008501A9"/>
    <w:rsid w:val="0088282F"/>
    <w:rsid w:val="008944D7"/>
    <w:rsid w:val="008A359B"/>
    <w:rsid w:val="008A5CF1"/>
    <w:rsid w:val="008C3B26"/>
    <w:rsid w:val="008C7DB3"/>
    <w:rsid w:val="008F32CF"/>
    <w:rsid w:val="009369BD"/>
    <w:rsid w:val="009668FE"/>
    <w:rsid w:val="00967039"/>
    <w:rsid w:val="00993078"/>
    <w:rsid w:val="009C0C32"/>
    <w:rsid w:val="00A11271"/>
    <w:rsid w:val="00A37906"/>
    <w:rsid w:val="00A37B72"/>
    <w:rsid w:val="00A65EB1"/>
    <w:rsid w:val="00A84B0C"/>
    <w:rsid w:val="00AC04D0"/>
    <w:rsid w:val="00AC3AE8"/>
    <w:rsid w:val="00B41A6B"/>
    <w:rsid w:val="00B513A5"/>
    <w:rsid w:val="00B54E54"/>
    <w:rsid w:val="00B724EE"/>
    <w:rsid w:val="00BB0DB6"/>
    <w:rsid w:val="00BB310E"/>
    <w:rsid w:val="00BB50E9"/>
    <w:rsid w:val="00BC1816"/>
    <w:rsid w:val="00BE76C2"/>
    <w:rsid w:val="00C138F3"/>
    <w:rsid w:val="00C14C58"/>
    <w:rsid w:val="00C32101"/>
    <w:rsid w:val="00C62EC1"/>
    <w:rsid w:val="00C9486B"/>
    <w:rsid w:val="00CA3679"/>
    <w:rsid w:val="00CA64C8"/>
    <w:rsid w:val="00CB4408"/>
    <w:rsid w:val="00D50A04"/>
    <w:rsid w:val="00D67B2E"/>
    <w:rsid w:val="00D71068"/>
    <w:rsid w:val="00DD3E1E"/>
    <w:rsid w:val="00E12B4C"/>
    <w:rsid w:val="00E32C63"/>
    <w:rsid w:val="00E4171D"/>
    <w:rsid w:val="00E419DC"/>
    <w:rsid w:val="00EA0140"/>
    <w:rsid w:val="00ED1453"/>
    <w:rsid w:val="00ED461A"/>
    <w:rsid w:val="00F32872"/>
    <w:rsid w:val="00F3518B"/>
    <w:rsid w:val="00F54476"/>
    <w:rsid w:val="00F65EAE"/>
    <w:rsid w:val="00F75677"/>
    <w:rsid w:val="00F8578F"/>
    <w:rsid w:val="00F9077D"/>
    <w:rsid w:val="00FB0037"/>
    <w:rsid w:val="00FB0B4D"/>
    <w:rsid w:val="00FC5D99"/>
    <w:rsid w:val="00FF4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7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84B0C"/>
  </w:style>
  <w:style w:type="character" w:customStyle="1" w:styleId="FootnoteTextChar">
    <w:name w:val="Footnote Text Char"/>
    <w:basedOn w:val="DefaultParagraphFont"/>
    <w:link w:val="FootnoteText"/>
    <w:uiPriority w:val="99"/>
    <w:rsid w:val="00A84B0C"/>
  </w:style>
  <w:style w:type="character" w:styleId="FootnoteReference">
    <w:name w:val="footnote reference"/>
    <w:basedOn w:val="DefaultParagraphFont"/>
    <w:uiPriority w:val="99"/>
    <w:unhideWhenUsed/>
    <w:rsid w:val="00A84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1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58"/>
  </w:style>
  <w:style w:type="paragraph" w:styleId="Footer">
    <w:name w:val="footer"/>
    <w:basedOn w:val="Normal"/>
    <w:link w:val="FooterChar"/>
    <w:uiPriority w:val="99"/>
    <w:unhideWhenUsed/>
    <w:rsid w:val="006F1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58"/>
  </w:style>
  <w:style w:type="paragraph" w:styleId="BalloonText">
    <w:name w:val="Balloon Text"/>
    <w:basedOn w:val="Normal"/>
    <w:link w:val="BalloonTextChar"/>
    <w:uiPriority w:val="99"/>
    <w:semiHidden/>
    <w:unhideWhenUsed/>
    <w:rsid w:val="00153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3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7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EC1"/>
  </w:style>
  <w:style w:type="table" w:styleId="TableGrid">
    <w:name w:val="Table Grid"/>
    <w:basedOn w:val="TableNormal"/>
    <w:uiPriority w:val="59"/>
    <w:rsid w:val="004F0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A30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0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3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84B0C"/>
  </w:style>
  <w:style w:type="character" w:customStyle="1" w:styleId="FootnoteTextChar">
    <w:name w:val="Footnote Text Char"/>
    <w:basedOn w:val="DefaultParagraphFont"/>
    <w:link w:val="FootnoteText"/>
    <w:uiPriority w:val="99"/>
    <w:rsid w:val="00A84B0C"/>
  </w:style>
  <w:style w:type="character" w:styleId="FootnoteReference">
    <w:name w:val="footnote reference"/>
    <w:basedOn w:val="DefaultParagraphFont"/>
    <w:uiPriority w:val="99"/>
    <w:unhideWhenUsed/>
    <w:rsid w:val="00A84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1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58"/>
  </w:style>
  <w:style w:type="paragraph" w:styleId="Footer">
    <w:name w:val="footer"/>
    <w:basedOn w:val="Normal"/>
    <w:link w:val="FooterChar"/>
    <w:uiPriority w:val="99"/>
    <w:unhideWhenUsed/>
    <w:rsid w:val="006F1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58"/>
  </w:style>
  <w:style w:type="paragraph" w:styleId="BalloonText">
    <w:name w:val="Balloon Text"/>
    <w:basedOn w:val="Normal"/>
    <w:link w:val="BalloonTextChar"/>
    <w:uiPriority w:val="99"/>
    <w:semiHidden/>
    <w:unhideWhenUsed/>
    <w:rsid w:val="00153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3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7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7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EC1"/>
  </w:style>
  <w:style w:type="table" w:styleId="TableGrid">
    <w:name w:val="Table Grid"/>
    <w:basedOn w:val="TableNormal"/>
    <w:uiPriority w:val="59"/>
    <w:rsid w:val="004F0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A30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0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3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EA577-DD76-DC43-AC98-7D8704C5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1506</Words>
  <Characters>8589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Department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Dickson</dc:creator>
  <cp:lastModifiedBy>Phyllis Bolin</cp:lastModifiedBy>
  <cp:revision>2</cp:revision>
  <cp:lastPrinted>2014-08-05T20:13:00Z</cp:lastPrinted>
  <dcterms:created xsi:type="dcterms:W3CDTF">2015-01-26T18:04:00Z</dcterms:created>
  <dcterms:modified xsi:type="dcterms:W3CDTF">2015-01-26T18:04:00Z</dcterms:modified>
</cp:coreProperties>
</file>