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E7384" w14:textId="5BC403EA" w:rsidR="00CA7A06" w:rsidRPr="00A729E5" w:rsidRDefault="00CA7A06" w:rsidP="00CA7A06">
      <w:pPr>
        <w:pStyle w:val="Title"/>
        <w:rPr>
          <w:sz w:val="48"/>
          <w:szCs w:val="48"/>
        </w:rPr>
      </w:pPr>
      <w:bookmarkStart w:id="0" w:name="_GoBack"/>
      <w:bookmarkEnd w:id="0"/>
      <w:r w:rsidRPr="00A729E5">
        <w:rPr>
          <w:sz w:val="48"/>
          <w:szCs w:val="48"/>
        </w:rPr>
        <w:t xml:space="preserve">Application for </w:t>
      </w:r>
      <w:r>
        <w:rPr>
          <w:sz w:val="48"/>
          <w:szCs w:val="48"/>
        </w:rPr>
        <w:t>Arts and Humanities</w:t>
      </w:r>
      <w:r w:rsidRPr="00A729E5">
        <w:rPr>
          <w:sz w:val="48"/>
          <w:szCs w:val="48"/>
        </w:rPr>
        <w:t xml:space="preserve"> Menu</w:t>
      </w:r>
    </w:p>
    <w:p w14:paraId="402F574C" w14:textId="77777777" w:rsidR="00F80043" w:rsidRDefault="00F80043" w:rsidP="00F80043">
      <w:pPr>
        <w:pStyle w:val="Heading1"/>
      </w:pPr>
      <w:r>
        <w:t>Guidelines For All General Education Courses</w:t>
      </w:r>
    </w:p>
    <w:p w14:paraId="7334C710" w14:textId="77777777" w:rsidR="00F80043" w:rsidRDefault="00F80043" w:rsidP="00F80043">
      <w:pPr>
        <w:pStyle w:val="NormalWeb"/>
        <w:numPr>
          <w:ilvl w:val="0"/>
          <w:numId w:val="1"/>
        </w:numPr>
        <w:spacing w:before="0" w:beforeAutospacing="0" w:after="0" w:afterAutospacing="0"/>
        <w:rPr>
          <w:rFonts w:ascii="Calibri" w:hAnsi="Calibri" w:cs="Calibri"/>
        </w:rPr>
      </w:pPr>
      <w:r>
        <w:rPr>
          <w:rFonts w:ascii="Calibri" w:hAnsi="Calibri" w:cs="Calibri"/>
        </w:rPr>
        <w:t xml:space="preserve">All general education courses must be 100-level or above. </w:t>
      </w:r>
    </w:p>
    <w:p w14:paraId="4AC5A374" w14:textId="77777777" w:rsidR="00F80043" w:rsidRPr="008347B6" w:rsidRDefault="00F80043" w:rsidP="00F80043">
      <w:pPr>
        <w:pStyle w:val="NormalWeb"/>
        <w:numPr>
          <w:ilvl w:val="0"/>
          <w:numId w:val="1"/>
        </w:numPr>
        <w:spacing w:before="0" w:beforeAutospacing="0" w:after="0" w:afterAutospacing="0"/>
        <w:rPr>
          <w:rFonts w:ascii="Calibri" w:hAnsi="Calibri" w:cs="Calibri"/>
        </w:rPr>
      </w:pPr>
      <w:r>
        <w:rPr>
          <w:rFonts w:ascii="Calibri" w:hAnsi="Calibri" w:cs="Calibri"/>
        </w:rPr>
        <w:t xml:space="preserve">General education courses should present a breadth of knowledge, not focusing on </w:t>
      </w:r>
      <w:r w:rsidRPr="008347B6">
        <w:rPr>
          <w:rFonts w:ascii="Calibri" w:hAnsi="Calibri" w:cs="Calibri"/>
        </w:rPr>
        <w:t xml:space="preserve">skills, techniques, and procedures specific to a particular occupation or profession. </w:t>
      </w:r>
    </w:p>
    <w:p w14:paraId="1B1C6FAF" w14:textId="77777777" w:rsidR="00F80043" w:rsidRDefault="00F80043" w:rsidP="00F80043">
      <w:pPr>
        <w:pStyle w:val="NormalWeb"/>
        <w:numPr>
          <w:ilvl w:val="0"/>
          <w:numId w:val="1"/>
        </w:numPr>
        <w:spacing w:before="0" w:beforeAutospacing="0" w:after="0" w:afterAutospacing="0"/>
        <w:rPr>
          <w:rFonts w:ascii="Calibri" w:hAnsi="Calibri" w:cs="Calibri"/>
        </w:rPr>
      </w:pPr>
      <w:r>
        <w:rPr>
          <w:rFonts w:ascii="Calibri" w:hAnsi="Calibri" w:cs="Calibri"/>
        </w:rPr>
        <w:t xml:space="preserve">Individual courses will fulfill only a single general education requirement. </w:t>
      </w:r>
    </w:p>
    <w:p w14:paraId="2CF55E8C" w14:textId="77777777" w:rsidR="00F80043" w:rsidRPr="008347B6" w:rsidRDefault="00F80043" w:rsidP="00F80043">
      <w:pPr>
        <w:pStyle w:val="NormalWeb"/>
        <w:numPr>
          <w:ilvl w:val="0"/>
          <w:numId w:val="1"/>
        </w:numPr>
        <w:spacing w:before="0" w:beforeAutospacing="0" w:after="0" w:afterAutospacing="0"/>
        <w:rPr>
          <w:rFonts w:ascii="Calibri" w:hAnsi="Calibri" w:cs="Calibri"/>
        </w:rPr>
      </w:pPr>
      <w:r>
        <w:rPr>
          <w:rFonts w:ascii="Calibri" w:hAnsi="Calibri" w:cs="Calibri"/>
        </w:rPr>
        <w:t xml:space="preserve">Courses free of prerequisites are preferred. Applications to add courses with </w:t>
      </w:r>
      <w:r w:rsidRPr="008347B6">
        <w:rPr>
          <w:rFonts w:ascii="Calibri" w:hAnsi="Calibri" w:cs="Calibri"/>
        </w:rPr>
        <w:t xml:space="preserve">prerequisites must provide additional evidence that the course contributes to a student’s breadth of knowledge and is not specific to a particular occupation or profession. </w:t>
      </w:r>
    </w:p>
    <w:p w14:paraId="5C38EFC2" w14:textId="77777777" w:rsidR="00F80043" w:rsidRDefault="00F80043" w:rsidP="00F80043">
      <w:pPr>
        <w:pStyle w:val="NormalWeb"/>
        <w:numPr>
          <w:ilvl w:val="0"/>
          <w:numId w:val="1"/>
        </w:numPr>
        <w:spacing w:before="0" w:beforeAutospacing="0" w:after="0" w:afterAutospacing="0"/>
        <w:rPr>
          <w:rFonts w:ascii="Calibri" w:hAnsi="Calibri" w:cs="Calibri"/>
        </w:rPr>
      </w:pPr>
      <w:r>
        <w:rPr>
          <w:rFonts w:ascii="Calibri" w:hAnsi="Calibri" w:cs="Calibri"/>
        </w:rPr>
        <w:t xml:space="preserve">Each course may appear on a maximum of two menus that accept applications (arts and humanities, cultural literacy, life and physical sciences, and social and behavioral sciences). </w:t>
      </w:r>
    </w:p>
    <w:p w14:paraId="317280D8" w14:textId="01AA064D" w:rsidR="00CA7A06" w:rsidRDefault="00527EFC" w:rsidP="00CA7A06">
      <w:pPr>
        <w:pStyle w:val="Heading1"/>
      </w:pPr>
      <w:r>
        <w:t>Arts and Humanities</w:t>
      </w:r>
      <w:r w:rsidR="00CA7A06">
        <w:t xml:space="preserve"> Description</w:t>
      </w:r>
    </w:p>
    <w:p w14:paraId="10C5BBE8" w14:textId="01BA4453" w:rsidR="00CA7A06" w:rsidRPr="00605A9B" w:rsidRDefault="00CA7A06" w:rsidP="00CA7A06">
      <w:r>
        <w:t xml:space="preserve">Courses within this domain </w:t>
      </w:r>
      <w:r w:rsidR="00F80043">
        <w:t>will expose students to other cultures, time periods, and points of view through a wide variety of media. Emphasis will be placed on understanding the human condition, relevance and aesthetics of rhetorical claims, interrogating one’s own personal worldviews, and drawing conclusions from analysis of artifacts.</w:t>
      </w:r>
    </w:p>
    <w:p w14:paraId="0CC67A2B" w14:textId="77777777" w:rsidR="00CA7A06" w:rsidRDefault="00CA7A06" w:rsidP="00CA7A06">
      <w:pPr>
        <w:pStyle w:val="Heading1"/>
      </w:pPr>
      <w:r>
        <w:t>Instructions</w:t>
      </w:r>
    </w:p>
    <w:p w14:paraId="354970A7" w14:textId="35DEC5DD" w:rsidR="00CA7A06" w:rsidRDefault="00CA7A06" w:rsidP="00CA7A06">
      <w:r>
        <w:t xml:space="preserve">Complete this form and submit it with a course syllabus and approval chart to the University General Education Council. Faculty submitting an application should be prepared to perform annual assessment for their course. The assessment will be </w:t>
      </w:r>
      <w:r w:rsidR="00230F91">
        <w:t>conducted with</w:t>
      </w:r>
      <w:r>
        <w:t xml:space="preserve"> the rubric </w:t>
      </w:r>
      <w:r w:rsidR="00230F91">
        <w:t>included in</w:t>
      </w:r>
      <w:r>
        <w:t xml:space="preserve"> this course application.</w:t>
      </w:r>
      <w:r w:rsidR="001521C6">
        <w:t xml:space="preserve"> See the last page of this document for explanation of disciplines that will be considered for the menu.</w:t>
      </w:r>
    </w:p>
    <w:p w14:paraId="5D7396E0" w14:textId="77777777" w:rsidR="00CA7A06" w:rsidRDefault="00CA7A06" w:rsidP="00CA7A06">
      <w:pPr>
        <w:pStyle w:val="Heading2"/>
      </w:pPr>
    </w:p>
    <w:tbl>
      <w:tblPr>
        <w:tblStyle w:val="TableGrid"/>
        <w:tblW w:w="0" w:type="auto"/>
        <w:tblLook w:val="04A0" w:firstRow="1" w:lastRow="0" w:firstColumn="1" w:lastColumn="0" w:noHBand="0" w:noVBand="1"/>
      </w:tblPr>
      <w:tblGrid>
        <w:gridCol w:w="3505"/>
        <w:gridCol w:w="5845"/>
      </w:tblGrid>
      <w:tr w:rsidR="00CA7A06" w14:paraId="3DD13F60" w14:textId="77777777" w:rsidTr="00E2531E">
        <w:trPr>
          <w:trHeight w:val="593"/>
        </w:trPr>
        <w:tc>
          <w:tcPr>
            <w:tcW w:w="3505" w:type="dxa"/>
          </w:tcPr>
          <w:p w14:paraId="366FF1E8" w14:textId="7EC44401" w:rsidR="00CA7A06" w:rsidRPr="00E2531E" w:rsidRDefault="00CA7A06" w:rsidP="00E2531E">
            <w:pPr>
              <w:rPr>
                <w:b/>
                <w:bCs/>
              </w:rPr>
            </w:pPr>
            <w:r w:rsidRPr="00E2531E">
              <w:rPr>
                <w:b/>
                <w:bCs/>
              </w:rPr>
              <w:t xml:space="preserve">Subject </w:t>
            </w:r>
            <w:r w:rsidR="00E2531E">
              <w:rPr>
                <w:b/>
                <w:bCs/>
              </w:rPr>
              <w:t>c</w:t>
            </w:r>
            <w:r w:rsidRPr="00E2531E">
              <w:rPr>
                <w:b/>
                <w:bCs/>
              </w:rPr>
              <w:t xml:space="preserve">ode, </w:t>
            </w:r>
            <w:r w:rsidR="00E2531E">
              <w:rPr>
                <w:b/>
                <w:bCs/>
              </w:rPr>
              <w:t>c</w:t>
            </w:r>
            <w:r w:rsidRPr="00E2531E">
              <w:rPr>
                <w:b/>
                <w:bCs/>
              </w:rPr>
              <w:t xml:space="preserve">ourse </w:t>
            </w:r>
            <w:r w:rsidR="00E2531E">
              <w:rPr>
                <w:b/>
                <w:bCs/>
              </w:rPr>
              <w:t>n</w:t>
            </w:r>
            <w:r w:rsidRPr="00E2531E">
              <w:rPr>
                <w:b/>
                <w:bCs/>
              </w:rPr>
              <w:t xml:space="preserve">umber, and </w:t>
            </w:r>
            <w:r w:rsidR="00E2531E">
              <w:rPr>
                <w:b/>
                <w:bCs/>
              </w:rPr>
              <w:t>t</w:t>
            </w:r>
            <w:r w:rsidRPr="00E2531E">
              <w:rPr>
                <w:b/>
                <w:bCs/>
              </w:rPr>
              <w:t xml:space="preserve">itle of </w:t>
            </w:r>
            <w:r w:rsidR="00E2531E">
              <w:rPr>
                <w:b/>
                <w:bCs/>
              </w:rPr>
              <w:t>c</w:t>
            </w:r>
            <w:r w:rsidRPr="00E2531E">
              <w:rPr>
                <w:b/>
                <w:bCs/>
              </w:rPr>
              <w:t>ourse:</w:t>
            </w:r>
          </w:p>
        </w:tc>
        <w:tc>
          <w:tcPr>
            <w:tcW w:w="5845" w:type="dxa"/>
          </w:tcPr>
          <w:p w14:paraId="7FA025A6" w14:textId="77777777" w:rsidR="00CA7A06" w:rsidRDefault="00CA7A06" w:rsidP="00E03FED"/>
        </w:tc>
      </w:tr>
      <w:tr w:rsidR="00CA7A06" w14:paraId="2939FBF6" w14:textId="77777777" w:rsidTr="00E2531E">
        <w:trPr>
          <w:trHeight w:val="350"/>
        </w:trPr>
        <w:tc>
          <w:tcPr>
            <w:tcW w:w="3505" w:type="dxa"/>
          </w:tcPr>
          <w:p w14:paraId="1F791946" w14:textId="238EDE10" w:rsidR="00CA7A06" w:rsidRPr="00E2531E" w:rsidRDefault="00CA7A06" w:rsidP="00E2531E">
            <w:pPr>
              <w:rPr>
                <w:b/>
                <w:bCs/>
              </w:rPr>
            </w:pPr>
            <w:r w:rsidRPr="00E2531E">
              <w:rPr>
                <w:b/>
                <w:bCs/>
              </w:rPr>
              <w:t xml:space="preserve">Terms </w:t>
            </w:r>
            <w:r w:rsidR="00E2531E">
              <w:rPr>
                <w:b/>
                <w:bCs/>
              </w:rPr>
              <w:t>o</w:t>
            </w:r>
            <w:r w:rsidRPr="00E2531E">
              <w:rPr>
                <w:b/>
                <w:bCs/>
              </w:rPr>
              <w:t>ffered:</w:t>
            </w:r>
          </w:p>
        </w:tc>
        <w:tc>
          <w:tcPr>
            <w:tcW w:w="5845" w:type="dxa"/>
          </w:tcPr>
          <w:p w14:paraId="03CB4C47" w14:textId="77777777" w:rsidR="00CA7A06" w:rsidRDefault="00CA7A06" w:rsidP="00E03FED"/>
        </w:tc>
      </w:tr>
      <w:tr w:rsidR="00CA7A06" w14:paraId="26D03B78" w14:textId="77777777" w:rsidTr="00E2531E">
        <w:trPr>
          <w:trHeight w:val="350"/>
        </w:trPr>
        <w:tc>
          <w:tcPr>
            <w:tcW w:w="3505" w:type="dxa"/>
          </w:tcPr>
          <w:p w14:paraId="3083E0BD" w14:textId="0E19D025" w:rsidR="00CA7A06" w:rsidRPr="00E2531E" w:rsidRDefault="00CA7A06" w:rsidP="00E2531E">
            <w:pPr>
              <w:rPr>
                <w:b/>
                <w:bCs/>
              </w:rPr>
            </w:pPr>
            <w:r w:rsidRPr="00E2531E">
              <w:rPr>
                <w:b/>
                <w:bCs/>
              </w:rPr>
              <w:t xml:space="preserve">Catalog </w:t>
            </w:r>
            <w:r w:rsidR="00E2531E">
              <w:rPr>
                <w:b/>
                <w:bCs/>
              </w:rPr>
              <w:t>d</w:t>
            </w:r>
            <w:r w:rsidRPr="00E2531E">
              <w:rPr>
                <w:b/>
                <w:bCs/>
              </w:rPr>
              <w:t>escription:</w:t>
            </w:r>
          </w:p>
        </w:tc>
        <w:tc>
          <w:tcPr>
            <w:tcW w:w="5845" w:type="dxa"/>
          </w:tcPr>
          <w:p w14:paraId="4E517A5E" w14:textId="77777777" w:rsidR="00CA7A06" w:rsidRDefault="00CA7A06" w:rsidP="00E03FED"/>
        </w:tc>
      </w:tr>
      <w:tr w:rsidR="00CA7A06" w14:paraId="6C63EBE6" w14:textId="77777777" w:rsidTr="00E2531E">
        <w:trPr>
          <w:trHeight w:val="350"/>
        </w:trPr>
        <w:tc>
          <w:tcPr>
            <w:tcW w:w="3505" w:type="dxa"/>
          </w:tcPr>
          <w:p w14:paraId="1D8643D6" w14:textId="1B2F5514" w:rsidR="00CA7A06" w:rsidRPr="00E2531E" w:rsidRDefault="00CA7A06" w:rsidP="00E2531E">
            <w:pPr>
              <w:rPr>
                <w:b/>
                <w:bCs/>
              </w:rPr>
            </w:pPr>
            <w:r w:rsidRPr="00E2531E">
              <w:rPr>
                <w:b/>
                <w:bCs/>
              </w:rPr>
              <w:t xml:space="preserve">Course </w:t>
            </w:r>
            <w:r w:rsidR="00E2531E">
              <w:rPr>
                <w:b/>
                <w:bCs/>
              </w:rPr>
              <w:t>p</w:t>
            </w:r>
            <w:r w:rsidRPr="00E2531E">
              <w:rPr>
                <w:b/>
                <w:bCs/>
              </w:rPr>
              <w:t>rerequisites:</w:t>
            </w:r>
          </w:p>
        </w:tc>
        <w:tc>
          <w:tcPr>
            <w:tcW w:w="5845" w:type="dxa"/>
          </w:tcPr>
          <w:p w14:paraId="42E52908" w14:textId="77777777" w:rsidR="00CA7A06" w:rsidRDefault="00CA7A06" w:rsidP="00E03FED"/>
        </w:tc>
      </w:tr>
      <w:tr w:rsidR="00CA7A06" w14:paraId="3C2ABC84" w14:textId="77777777" w:rsidTr="00E2531E">
        <w:trPr>
          <w:trHeight w:val="350"/>
        </w:trPr>
        <w:tc>
          <w:tcPr>
            <w:tcW w:w="3505" w:type="dxa"/>
          </w:tcPr>
          <w:p w14:paraId="01B01096" w14:textId="77777777" w:rsidR="00CA7A06" w:rsidRDefault="00CA7A06" w:rsidP="00E2531E">
            <w:pPr>
              <w:rPr>
                <w:b/>
                <w:bCs/>
              </w:rPr>
            </w:pPr>
            <w:r w:rsidRPr="00E2531E">
              <w:rPr>
                <w:b/>
                <w:bCs/>
              </w:rPr>
              <w:t>Cross-</w:t>
            </w:r>
            <w:r w:rsidR="00E2531E">
              <w:rPr>
                <w:b/>
                <w:bCs/>
              </w:rPr>
              <w:t>l</w:t>
            </w:r>
            <w:r w:rsidRPr="00E2531E">
              <w:rPr>
                <w:b/>
                <w:bCs/>
              </w:rPr>
              <w:t xml:space="preserve">isted </w:t>
            </w:r>
            <w:r w:rsidR="00E2531E">
              <w:rPr>
                <w:b/>
                <w:bCs/>
              </w:rPr>
              <w:t>c</w:t>
            </w:r>
            <w:r w:rsidRPr="00E2531E">
              <w:rPr>
                <w:b/>
                <w:bCs/>
              </w:rPr>
              <w:t>ourses:</w:t>
            </w:r>
          </w:p>
          <w:p w14:paraId="505DC825" w14:textId="5A78EFCE" w:rsidR="00820811" w:rsidRPr="00E2531E" w:rsidRDefault="00820811" w:rsidP="00E2531E">
            <w:pPr>
              <w:rPr>
                <w:b/>
                <w:bCs/>
              </w:rPr>
            </w:pPr>
            <w:r w:rsidRPr="00D61AEB">
              <w:rPr>
                <w:sz w:val="16"/>
                <w:szCs w:val="16"/>
              </w:rPr>
              <w:t>*Note: Many gen ed courses are cross-listed between the Abilene and Dallas campuses.</w:t>
            </w:r>
          </w:p>
        </w:tc>
        <w:tc>
          <w:tcPr>
            <w:tcW w:w="5845" w:type="dxa"/>
          </w:tcPr>
          <w:p w14:paraId="38D41B5E" w14:textId="77777777" w:rsidR="00CA7A06" w:rsidRDefault="00CA7A06" w:rsidP="00E03FED"/>
        </w:tc>
      </w:tr>
      <w:tr w:rsidR="00E2531E" w14:paraId="1EA01053" w14:textId="77777777" w:rsidTr="00E2531E">
        <w:trPr>
          <w:trHeight w:val="971"/>
        </w:trPr>
        <w:tc>
          <w:tcPr>
            <w:tcW w:w="3505" w:type="dxa"/>
          </w:tcPr>
          <w:p w14:paraId="1F8D1E84" w14:textId="00B8C12C" w:rsidR="00E2531E" w:rsidRPr="00E2531E" w:rsidRDefault="00E2531E" w:rsidP="00E2531E">
            <w:pPr>
              <w:rPr>
                <w:b/>
                <w:bCs/>
              </w:rPr>
            </w:pPr>
            <w:r>
              <w:rPr>
                <w:b/>
                <w:bCs/>
              </w:rPr>
              <w:t>Other general education menus on which the course appears or you are applying for:</w:t>
            </w:r>
          </w:p>
        </w:tc>
        <w:tc>
          <w:tcPr>
            <w:tcW w:w="5845" w:type="dxa"/>
          </w:tcPr>
          <w:p w14:paraId="03D85E23" w14:textId="77777777" w:rsidR="00E2531E" w:rsidRDefault="00E2531E" w:rsidP="00E03FED"/>
        </w:tc>
      </w:tr>
    </w:tbl>
    <w:p w14:paraId="5B14A420" w14:textId="77777777" w:rsidR="00CA7A06" w:rsidRDefault="00CA7A06" w:rsidP="00CA7A06">
      <w:pPr>
        <w:pStyle w:val="Heading1"/>
      </w:pPr>
      <w:r>
        <w:lastRenderedPageBreak/>
        <w:t>Description of Menu Fit</w:t>
      </w:r>
    </w:p>
    <w:p w14:paraId="41E947DA" w14:textId="4C2E667F" w:rsidR="00CA7A06" w:rsidRPr="00A81822" w:rsidRDefault="00CA7A06" w:rsidP="00CA7A06">
      <w:r w:rsidRPr="00A81822">
        <w:t xml:space="preserve">Please describe how your class fits into the </w:t>
      </w:r>
      <w:r w:rsidR="00E2531E" w:rsidRPr="00A81822">
        <w:t>Arts and Humanities</w:t>
      </w:r>
      <w:r w:rsidRPr="00A81822">
        <w:t xml:space="preserve"> Menu (200 words or less).  </w:t>
      </w:r>
    </w:p>
    <w:p w14:paraId="2D764313" w14:textId="77777777" w:rsidR="00CA7A06" w:rsidRDefault="00CA7A06" w:rsidP="00323317">
      <w:pPr>
        <w:ind w:left="720"/>
      </w:pPr>
    </w:p>
    <w:p w14:paraId="2CF7F151" w14:textId="77777777" w:rsidR="00CA7A06" w:rsidRDefault="00CA7A06" w:rsidP="00CA7A06"/>
    <w:p w14:paraId="5911AC37" w14:textId="77777777" w:rsidR="00A81822" w:rsidRDefault="00A81822" w:rsidP="00A81822">
      <w:pPr>
        <w:pStyle w:val="Heading1"/>
      </w:pPr>
      <w:r>
        <w:t>Prerequisites</w:t>
      </w:r>
    </w:p>
    <w:p w14:paraId="1608A043" w14:textId="63F8DB7E" w:rsidR="00A81822" w:rsidRDefault="00A81822" w:rsidP="00A81822">
      <w:r>
        <w:t>If the course has prerequisites, provide evidence that the course contributes to a student’s breadth of knowledge. Also provide evidence that the course content is not specific to a particular occupation or profession (200 words or less).</w:t>
      </w:r>
    </w:p>
    <w:p w14:paraId="5D09509B" w14:textId="77777777" w:rsidR="00A81822" w:rsidRDefault="00A81822" w:rsidP="00230F91">
      <w:pPr>
        <w:ind w:left="720"/>
      </w:pPr>
    </w:p>
    <w:p w14:paraId="3EF179DB" w14:textId="5E4CDACA" w:rsidR="00CA7A06" w:rsidRDefault="00A81822" w:rsidP="00CA7A06">
      <w:pPr>
        <w:pStyle w:val="Heading1"/>
      </w:pPr>
      <w:r>
        <w:t>Relevant</w:t>
      </w:r>
      <w:r w:rsidR="00725A64">
        <w:t xml:space="preserve"> Outcomes</w:t>
      </w:r>
    </w:p>
    <w:p w14:paraId="41DFE818" w14:textId="4CEFD538" w:rsidR="00323317" w:rsidRPr="00323317" w:rsidRDefault="00323317" w:rsidP="00323317">
      <w:pPr>
        <w:pStyle w:val="ListParagraph"/>
        <w:numPr>
          <w:ilvl w:val="0"/>
          <w:numId w:val="2"/>
        </w:numPr>
        <w:rPr>
          <w:rFonts w:ascii="Times New Roman" w:hAnsi="Times New Roman"/>
        </w:rPr>
      </w:pPr>
      <w:r w:rsidRPr="00323317">
        <w:t>A2: Listen to, understand, and critically evaluate rhetorical claims</w:t>
      </w:r>
      <w:r>
        <w:t>.</w:t>
      </w:r>
    </w:p>
    <w:p w14:paraId="21FE3E84" w14:textId="27D39778" w:rsidR="00323317" w:rsidRPr="00323317" w:rsidRDefault="00323317" w:rsidP="00323317">
      <w:pPr>
        <w:pStyle w:val="ListParagraph"/>
        <w:numPr>
          <w:ilvl w:val="0"/>
          <w:numId w:val="2"/>
        </w:numPr>
        <w:rPr>
          <w:rFonts w:ascii="Times New Roman" w:hAnsi="Times New Roman"/>
        </w:rPr>
      </w:pPr>
      <w:r w:rsidRPr="00323317">
        <w:t>B1: Demonstrate competent discourse in global, historical, and cultural experiences of diverse populations</w:t>
      </w:r>
      <w:r>
        <w:t>.</w:t>
      </w:r>
    </w:p>
    <w:p w14:paraId="75E36B86" w14:textId="7B668D10" w:rsidR="00323317" w:rsidRPr="00323317" w:rsidRDefault="00323317" w:rsidP="00323317">
      <w:pPr>
        <w:pStyle w:val="ListParagraph"/>
        <w:numPr>
          <w:ilvl w:val="0"/>
          <w:numId w:val="2"/>
        </w:numPr>
        <w:rPr>
          <w:rFonts w:ascii="Times New Roman" w:hAnsi="Times New Roman"/>
        </w:rPr>
      </w:pPr>
      <w:r w:rsidRPr="00323317">
        <w:t>B2: Understand the interconnectedness of the human experience with a posture of humility while celebrating difference</w:t>
      </w:r>
      <w:r>
        <w:t>.</w:t>
      </w:r>
    </w:p>
    <w:p w14:paraId="6779F66E" w14:textId="283EA10A" w:rsidR="00323317" w:rsidRPr="00323317" w:rsidRDefault="00323317" w:rsidP="00323317">
      <w:pPr>
        <w:pStyle w:val="ListParagraph"/>
        <w:numPr>
          <w:ilvl w:val="0"/>
          <w:numId w:val="2"/>
        </w:numPr>
        <w:rPr>
          <w:rFonts w:ascii="Times New Roman" w:hAnsi="Times New Roman"/>
        </w:rPr>
      </w:pPr>
      <w:r w:rsidRPr="00323317">
        <w:t>B3: Interrogate one’s internal and external views and values for greater self-awareness</w:t>
      </w:r>
      <w:r>
        <w:t>.</w:t>
      </w:r>
    </w:p>
    <w:p w14:paraId="1CA88565" w14:textId="03D445CF" w:rsidR="00323317" w:rsidRPr="00323317" w:rsidRDefault="00323317" w:rsidP="00323317">
      <w:pPr>
        <w:pStyle w:val="ListParagraph"/>
        <w:numPr>
          <w:ilvl w:val="0"/>
          <w:numId w:val="2"/>
        </w:numPr>
        <w:rPr>
          <w:rFonts w:ascii="Times New Roman" w:hAnsi="Times New Roman"/>
        </w:rPr>
      </w:pPr>
      <w:r w:rsidRPr="00323317">
        <w:t>C2: Analyze quantitative data, published writing, or observable phenomena to draw informed conclusions</w:t>
      </w:r>
      <w:r>
        <w:t>.</w:t>
      </w:r>
    </w:p>
    <w:p w14:paraId="50DCA0B2" w14:textId="49E740C4" w:rsidR="00CA7A06" w:rsidRDefault="00CA7A06" w:rsidP="00323317"/>
    <w:p w14:paraId="47AC8B40" w14:textId="452C911B" w:rsidR="00323317" w:rsidRPr="00323317" w:rsidRDefault="00323317" w:rsidP="00323317">
      <w:pPr>
        <w:rPr>
          <w:b/>
          <w:bCs/>
        </w:rPr>
      </w:pPr>
      <w:r w:rsidRPr="00323317">
        <w:rPr>
          <w:b/>
          <w:bCs/>
        </w:rPr>
        <w:t>Describe how the course meets the A2 outcome (100 words or less).</w:t>
      </w:r>
    </w:p>
    <w:p w14:paraId="59C78A41" w14:textId="0186BFF0" w:rsidR="00323317" w:rsidRDefault="00323317" w:rsidP="00323317">
      <w:pPr>
        <w:ind w:left="720"/>
      </w:pPr>
    </w:p>
    <w:p w14:paraId="297E1455" w14:textId="77777777" w:rsidR="00323317" w:rsidRDefault="00323317" w:rsidP="00323317">
      <w:pPr>
        <w:ind w:left="720"/>
      </w:pPr>
    </w:p>
    <w:p w14:paraId="13D6EB75" w14:textId="71F69F5E" w:rsidR="00323317" w:rsidRPr="00323317" w:rsidRDefault="00323317" w:rsidP="00323317">
      <w:pPr>
        <w:rPr>
          <w:b/>
          <w:bCs/>
        </w:rPr>
      </w:pPr>
      <w:r w:rsidRPr="00323317">
        <w:rPr>
          <w:b/>
          <w:bCs/>
        </w:rPr>
        <w:t>Describe how the course meets the C2 outcome (100 words or less).</w:t>
      </w:r>
    </w:p>
    <w:p w14:paraId="1D4CD2E9" w14:textId="64DED8EB" w:rsidR="00323317" w:rsidRDefault="00323317" w:rsidP="00323317">
      <w:pPr>
        <w:ind w:left="720"/>
      </w:pPr>
    </w:p>
    <w:p w14:paraId="5434A51F" w14:textId="77777777" w:rsidR="00323317" w:rsidRDefault="00323317" w:rsidP="00323317">
      <w:pPr>
        <w:ind w:left="720"/>
      </w:pPr>
    </w:p>
    <w:p w14:paraId="7423F3CF" w14:textId="762CD1E7" w:rsidR="00323317" w:rsidRPr="00323317" w:rsidRDefault="00323317" w:rsidP="00323317">
      <w:pPr>
        <w:rPr>
          <w:b/>
          <w:bCs/>
        </w:rPr>
      </w:pPr>
      <w:r w:rsidRPr="00323317">
        <w:rPr>
          <w:b/>
          <w:bCs/>
        </w:rPr>
        <w:t>Describe how the course meets at least one or more of the following outcomes: B1, B2, B3 (200 words or less).</w:t>
      </w:r>
    </w:p>
    <w:p w14:paraId="3B0DBA36" w14:textId="02AF6E15" w:rsidR="00CA7A06" w:rsidRDefault="00CA7A06" w:rsidP="00323317">
      <w:pPr>
        <w:ind w:left="720"/>
      </w:pPr>
    </w:p>
    <w:p w14:paraId="1F1ECA9C" w14:textId="712AA8EF" w:rsidR="00323317" w:rsidRDefault="00323317" w:rsidP="00323317">
      <w:pPr>
        <w:ind w:left="720"/>
      </w:pPr>
    </w:p>
    <w:p w14:paraId="0C9FD38F" w14:textId="04730CFF" w:rsidR="00A81822" w:rsidRDefault="00524DBC" w:rsidP="00A81822">
      <w:r>
        <w:t>Outcomes assessment</w:t>
      </w:r>
      <w:r w:rsidR="00A81822">
        <w:t xml:space="preserve"> </w:t>
      </w:r>
      <w:r>
        <w:t>should</w:t>
      </w:r>
      <w:r w:rsidR="00A81822">
        <w:t xml:space="preserve"> occur within one or two exams/assignments.  Please indicate which exams or assignments will be used for each </w:t>
      </w:r>
      <w:r>
        <w:t>outcome</w:t>
      </w:r>
      <w:r w:rsidR="00A81822">
        <w:t>.  Provide assignment prompts if available.</w:t>
      </w:r>
    </w:p>
    <w:p w14:paraId="200B0EDB" w14:textId="77777777" w:rsidR="00A81822" w:rsidRPr="00323317" w:rsidRDefault="00A81822" w:rsidP="00A81822"/>
    <w:tbl>
      <w:tblPr>
        <w:tblStyle w:val="TableGrid"/>
        <w:tblW w:w="0" w:type="auto"/>
        <w:tblLook w:val="04A0" w:firstRow="1" w:lastRow="0" w:firstColumn="1" w:lastColumn="0" w:noHBand="0" w:noVBand="1"/>
      </w:tblPr>
      <w:tblGrid>
        <w:gridCol w:w="2425"/>
        <w:gridCol w:w="6925"/>
      </w:tblGrid>
      <w:tr w:rsidR="00A81822" w14:paraId="1247D4CC" w14:textId="77777777" w:rsidTr="00E03FED">
        <w:tc>
          <w:tcPr>
            <w:tcW w:w="2425" w:type="dxa"/>
          </w:tcPr>
          <w:p w14:paraId="4D996562" w14:textId="77777777" w:rsidR="00A81822" w:rsidRPr="004D5424" w:rsidRDefault="00A81822" w:rsidP="00E03FED">
            <w:pPr>
              <w:pStyle w:val="Heading1"/>
              <w:spacing w:before="0"/>
              <w:rPr>
                <w:sz w:val="26"/>
                <w:szCs w:val="26"/>
              </w:rPr>
            </w:pPr>
            <w:r w:rsidRPr="004D5424">
              <w:rPr>
                <w:sz w:val="26"/>
                <w:szCs w:val="26"/>
              </w:rPr>
              <w:t>Area to Be Assessed</w:t>
            </w:r>
          </w:p>
        </w:tc>
        <w:tc>
          <w:tcPr>
            <w:tcW w:w="6925" w:type="dxa"/>
          </w:tcPr>
          <w:p w14:paraId="10D3393F" w14:textId="77777777" w:rsidR="00A81822" w:rsidRPr="004D5424" w:rsidRDefault="00A81822" w:rsidP="00E03FED">
            <w:pPr>
              <w:pStyle w:val="Heading1"/>
              <w:spacing w:before="0"/>
              <w:rPr>
                <w:sz w:val="26"/>
                <w:szCs w:val="26"/>
              </w:rPr>
            </w:pPr>
            <w:r w:rsidRPr="004D5424">
              <w:rPr>
                <w:sz w:val="26"/>
                <w:szCs w:val="26"/>
              </w:rPr>
              <w:t>Assessment Artifact</w:t>
            </w:r>
          </w:p>
        </w:tc>
      </w:tr>
      <w:tr w:rsidR="00A81822" w14:paraId="791872F1" w14:textId="77777777" w:rsidTr="00E03FED">
        <w:tc>
          <w:tcPr>
            <w:tcW w:w="2425" w:type="dxa"/>
          </w:tcPr>
          <w:p w14:paraId="733DDD30" w14:textId="77777777" w:rsidR="00A81822" w:rsidRDefault="00A81822" w:rsidP="00E03FED">
            <w:r>
              <w:t>Outcome A2</w:t>
            </w:r>
          </w:p>
        </w:tc>
        <w:tc>
          <w:tcPr>
            <w:tcW w:w="6925" w:type="dxa"/>
          </w:tcPr>
          <w:p w14:paraId="275B6AAF" w14:textId="77777777" w:rsidR="00A81822" w:rsidRDefault="00A81822" w:rsidP="00E03FED"/>
        </w:tc>
      </w:tr>
      <w:tr w:rsidR="00A81822" w14:paraId="19A69924" w14:textId="77777777" w:rsidTr="00E03FED">
        <w:tc>
          <w:tcPr>
            <w:tcW w:w="2425" w:type="dxa"/>
          </w:tcPr>
          <w:p w14:paraId="39FE90AC" w14:textId="2050B61F" w:rsidR="00A81822" w:rsidRDefault="00A81822" w:rsidP="00A81822">
            <w:r>
              <w:t>Outcome C2</w:t>
            </w:r>
          </w:p>
        </w:tc>
        <w:tc>
          <w:tcPr>
            <w:tcW w:w="6925" w:type="dxa"/>
          </w:tcPr>
          <w:p w14:paraId="7600D98B" w14:textId="77777777" w:rsidR="00A81822" w:rsidRDefault="00A81822" w:rsidP="00A81822"/>
        </w:tc>
      </w:tr>
      <w:tr w:rsidR="00A81822" w14:paraId="5136FB11" w14:textId="77777777" w:rsidTr="00E03FED">
        <w:tc>
          <w:tcPr>
            <w:tcW w:w="2425" w:type="dxa"/>
          </w:tcPr>
          <w:p w14:paraId="1D849FB4" w14:textId="77777777" w:rsidR="00A81822" w:rsidRDefault="00A81822" w:rsidP="00A81822">
            <w:r>
              <w:t>Outcome B1, B2, or B3</w:t>
            </w:r>
          </w:p>
          <w:p w14:paraId="274DC66F" w14:textId="3BE2FE69" w:rsidR="007F43F3" w:rsidRDefault="007F43F3" w:rsidP="00A81822">
            <w:r>
              <w:t>*note which of the 3 outcomes will be assessed</w:t>
            </w:r>
          </w:p>
        </w:tc>
        <w:tc>
          <w:tcPr>
            <w:tcW w:w="6925" w:type="dxa"/>
          </w:tcPr>
          <w:p w14:paraId="6DC24752" w14:textId="77777777" w:rsidR="00A81822" w:rsidRDefault="00A81822" w:rsidP="00A81822"/>
        </w:tc>
      </w:tr>
    </w:tbl>
    <w:p w14:paraId="4EED5254" w14:textId="37B3AF62" w:rsidR="001521C6" w:rsidRDefault="001521C6"/>
    <w:p w14:paraId="035C1B78" w14:textId="2BA4DED4" w:rsidR="00524DBC" w:rsidRDefault="00524DBC">
      <w:r>
        <w:lastRenderedPageBreak/>
        <w:t>Please use the following rubric to perform assessment each year.</w:t>
      </w:r>
    </w:p>
    <w:p w14:paraId="29334836" w14:textId="46CDCD94" w:rsidR="00524DBC" w:rsidRDefault="00524DBC" w:rsidP="00524DBC">
      <w:pPr>
        <w:pStyle w:val="Heading1"/>
      </w:pPr>
      <w:r>
        <w:t>Student Learning Outcome A2</w:t>
      </w:r>
    </w:p>
    <w:tbl>
      <w:tblPr>
        <w:tblStyle w:val="GridTable4-Accent5"/>
        <w:tblW w:w="9355" w:type="dxa"/>
        <w:tblBorders>
          <w:top w:val="single" w:sz="4" w:space="0" w:color="4F2170"/>
          <w:left w:val="single" w:sz="4" w:space="0" w:color="4F2170"/>
          <w:bottom w:val="single" w:sz="4" w:space="0" w:color="4F2170"/>
          <w:right w:val="single" w:sz="4" w:space="0" w:color="4F2170"/>
          <w:insideH w:val="single" w:sz="4" w:space="0" w:color="4F2170"/>
          <w:insideV w:val="single" w:sz="4" w:space="0" w:color="4F2170"/>
        </w:tblBorders>
        <w:tblLook w:val="04A0" w:firstRow="1" w:lastRow="0" w:firstColumn="1" w:lastColumn="0" w:noHBand="0" w:noVBand="1"/>
      </w:tblPr>
      <w:tblGrid>
        <w:gridCol w:w="2695"/>
        <w:gridCol w:w="1890"/>
        <w:gridCol w:w="2340"/>
        <w:gridCol w:w="2430"/>
      </w:tblGrid>
      <w:tr w:rsidR="00524DBC" w14:paraId="6F3D7602" w14:textId="77777777" w:rsidTr="00E03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one" w:sz="0" w:space="0" w:color="auto"/>
              <w:bottom w:val="single" w:sz="4" w:space="0" w:color="4F2170"/>
              <w:right w:val="none" w:sz="0" w:space="0" w:color="auto"/>
            </w:tcBorders>
            <w:shd w:val="clear" w:color="auto" w:fill="4F2170"/>
          </w:tcPr>
          <w:p w14:paraId="2F65FE69" w14:textId="77777777" w:rsidR="00524DBC" w:rsidRPr="000F6C12" w:rsidRDefault="00524DBC" w:rsidP="00E03FED">
            <w:pPr>
              <w:rPr>
                <w:sz w:val="22"/>
                <w:szCs w:val="22"/>
              </w:rPr>
            </w:pPr>
            <w:r w:rsidRPr="000F6C12">
              <w:rPr>
                <w:sz w:val="22"/>
                <w:szCs w:val="22"/>
              </w:rPr>
              <w:t>Students will be able to:</w:t>
            </w:r>
          </w:p>
        </w:tc>
        <w:tc>
          <w:tcPr>
            <w:tcW w:w="1890" w:type="dxa"/>
            <w:tcBorders>
              <w:top w:val="none" w:sz="0" w:space="0" w:color="auto"/>
              <w:left w:val="none" w:sz="0" w:space="0" w:color="auto"/>
              <w:bottom w:val="single" w:sz="4" w:space="0" w:color="4F2170"/>
              <w:right w:val="none" w:sz="0" w:space="0" w:color="auto"/>
            </w:tcBorders>
            <w:shd w:val="clear" w:color="auto" w:fill="4F2170"/>
          </w:tcPr>
          <w:p w14:paraId="76DDBDDC" w14:textId="77777777" w:rsidR="00524DBC" w:rsidRPr="000F6C12" w:rsidRDefault="00524DBC" w:rsidP="00E03FED">
            <w:pPr>
              <w:cnfStyle w:val="100000000000" w:firstRow="1" w:lastRow="0" w:firstColumn="0" w:lastColumn="0" w:oddVBand="0" w:evenVBand="0" w:oddHBand="0" w:evenHBand="0" w:firstRowFirstColumn="0" w:firstRowLastColumn="0" w:lastRowFirstColumn="0" w:lastRowLastColumn="0"/>
              <w:rPr>
                <w:sz w:val="22"/>
                <w:szCs w:val="22"/>
              </w:rPr>
            </w:pPr>
            <w:r w:rsidRPr="000F6C12">
              <w:rPr>
                <w:sz w:val="22"/>
                <w:szCs w:val="22"/>
              </w:rPr>
              <w:t>Shortcomings</w:t>
            </w:r>
          </w:p>
        </w:tc>
        <w:tc>
          <w:tcPr>
            <w:tcW w:w="2340" w:type="dxa"/>
            <w:tcBorders>
              <w:top w:val="none" w:sz="0" w:space="0" w:color="auto"/>
              <w:left w:val="none" w:sz="0" w:space="0" w:color="auto"/>
              <w:bottom w:val="single" w:sz="4" w:space="0" w:color="4F2170"/>
              <w:right w:val="none" w:sz="0" w:space="0" w:color="auto"/>
            </w:tcBorders>
            <w:shd w:val="clear" w:color="auto" w:fill="4F2170"/>
          </w:tcPr>
          <w:p w14:paraId="33C99835" w14:textId="77777777" w:rsidR="00524DBC" w:rsidRPr="000F6C12" w:rsidRDefault="00524DBC" w:rsidP="00E03FED">
            <w:pPr>
              <w:cnfStyle w:val="100000000000" w:firstRow="1" w:lastRow="0" w:firstColumn="0" w:lastColumn="0" w:oddVBand="0" w:evenVBand="0" w:oddHBand="0" w:evenHBand="0" w:firstRowFirstColumn="0" w:firstRowLastColumn="0" w:lastRowFirstColumn="0" w:lastRowLastColumn="0"/>
              <w:rPr>
                <w:sz w:val="22"/>
                <w:szCs w:val="22"/>
              </w:rPr>
            </w:pPr>
            <w:r w:rsidRPr="000F6C12">
              <w:rPr>
                <w:sz w:val="22"/>
                <w:szCs w:val="22"/>
              </w:rPr>
              <w:t>Meets Expectations</w:t>
            </w:r>
          </w:p>
        </w:tc>
        <w:tc>
          <w:tcPr>
            <w:tcW w:w="2430" w:type="dxa"/>
            <w:tcBorders>
              <w:top w:val="none" w:sz="0" w:space="0" w:color="auto"/>
              <w:left w:val="none" w:sz="0" w:space="0" w:color="auto"/>
              <w:bottom w:val="single" w:sz="4" w:space="0" w:color="4F2170"/>
              <w:right w:val="none" w:sz="0" w:space="0" w:color="auto"/>
            </w:tcBorders>
            <w:shd w:val="clear" w:color="auto" w:fill="4F2170"/>
          </w:tcPr>
          <w:p w14:paraId="57E109AF" w14:textId="77777777" w:rsidR="00524DBC" w:rsidRPr="000F6C12" w:rsidRDefault="00524DBC" w:rsidP="00E03FED">
            <w:pPr>
              <w:cnfStyle w:val="100000000000" w:firstRow="1" w:lastRow="0" w:firstColumn="0" w:lastColumn="0" w:oddVBand="0" w:evenVBand="0" w:oddHBand="0" w:evenHBand="0" w:firstRowFirstColumn="0" w:firstRowLastColumn="0" w:lastRowFirstColumn="0" w:lastRowLastColumn="0"/>
              <w:rPr>
                <w:sz w:val="22"/>
                <w:szCs w:val="22"/>
              </w:rPr>
            </w:pPr>
            <w:r w:rsidRPr="000F6C12">
              <w:rPr>
                <w:sz w:val="22"/>
                <w:szCs w:val="22"/>
              </w:rPr>
              <w:t>Points of Excellence</w:t>
            </w:r>
          </w:p>
        </w:tc>
      </w:tr>
      <w:tr w:rsidR="00524DBC" w14:paraId="21363363" w14:textId="77777777" w:rsidTr="00A549BE">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2695" w:type="dxa"/>
            <w:shd w:val="clear" w:color="auto" w:fill="FAF2FF"/>
          </w:tcPr>
          <w:p w14:paraId="23E51919" w14:textId="0C94E2CF" w:rsidR="00524DBC" w:rsidRPr="000F6C12" w:rsidRDefault="00227E24" w:rsidP="00E03FED">
            <w:pPr>
              <w:rPr>
                <w:sz w:val="22"/>
                <w:szCs w:val="22"/>
              </w:rPr>
            </w:pPr>
            <w:r>
              <w:rPr>
                <w:sz w:val="22"/>
                <w:szCs w:val="22"/>
              </w:rPr>
              <w:t>Evaluate rhetorical claims</w:t>
            </w:r>
          </w:p>
        </w:tc>
        <w:tc>
          <w:tcPr>
            <w:tcW w:w="1890" w:type="dxa"/>
            <w:shd w:val="clear" w:color="auto" w:fill="FAF2FF"/>
          </w:tcPr>
          <w:p w14:paraId="27009CFD" w14:textId="7AD5B68C" w:rsidR="00524DBC" w:rsidRPr="000F6C12" w:rsidRDefault="00227E24"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Fails to demonstrate understanding or recognition of rhetorical claims.</w:t>
            </w:r>
          </w:p>
        </w:tc>
        <w:tc>
          <w:tcPr>
            <w:tcW w:w="2340" w:type="dxa"/>
            <w:shd w:val="clear" w:color="auto" w:fill="FAF2FF"/>
          </w:tcPr>
          <w:p w14:paraId="5D9365A2" w14:textId="6BF0961A" w:rsidR="00524DBC" w:rsidRPr="000F6C12" w:rsidRDefault="00227E24"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Demonstrates effective understanding of and ability to critique rhetorical claims.</w:t>
            </w:r>
          </w:p>
        </w:tc>
        <w:tc>
          <w:tcPr>
            <w:tcW w:w="2430" w:type="dxa"/>
            <w:shd w:val="clear" w:color="auto" w:fill="FAF2FF"/>
          </w:tcPr>
          <w:p w14:paraId="7AAEDBE1" w14:textId="10B4775A" w:rsidR="00524DBC" w:rsidRPr="000F6C12" w:rsidRDefault="00227E24"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Demonstrates keen analytical abilities and attention to detail in understanding and evaluating rhetorical claims.</w:t>
            </w:r>
          </w:p>
        </w:tc>
      </w:tr>
    </w:tbl>
    <w:p w14:paraId="37F6FC49" w14:textId="77777777" w:rsidR="00524DBC" w:rsidRDefault="00524DBC" w:rsidP="00524DBC">
      <w:pPr>
        <w:pStyle w:val="Heading1"/>
      </w:pPr>
      <w:r>
        <w:t xml:space="preserve">Student Learning Outcome C2 </w:t>
      </w:r>
    </w:p>
    <w:tbl>
      <w:tblPr>
        <w:tblStyle w:val="GridTable4-Accent5"/>
        <w:tblW w:w="9355" w:type="dxa"/>
        <w:tblBorders>
          <w:top w:val="single" w:sz="4" w:space="0" w:color="4F2170"/>
          <w:left w:val="single" w:sz="4" w:space="0" w:color="4F2170"/>
          <w:bottom w:val="single" w:sz="4" w:space="0" w:color="4F2170"/>
          <w:right w:val="single" w:sz="4" w:space="0" w:color="4F2170"/>
          <w:insideH w:val="single" w:sz="4" w:space="0" w:color="4F2170"/>
          <w:insideV w:val="single" w:sz="4" w:space="0" w:color="4F2170"/>
        </w:tblBorders>
        <w:tblLook w:val="04A0" w:firstRow="1" w:lastRow="0" w:firstColumn="1" w:lastColumn="0" w:noHBand="0" w:noVBand="1"/>
      </w:tblPr>
      <w:tblGrid>
        <w:gridCol w:w="2695"/>
        <w:gridCol w:w="1890"/>
        <w:gridCol w:w="2340"/>
        <w:gridCol w:w="2430"/>
      </w:tblGrid>
      <w:tr w:rsidR="00524DBC" w14:paraId="6A747693" w14:textId="77777777" w:rsidTr="00E03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one" w:sz="0" w:space="0" w:color="auto"/>
              <w:bottom w:val="single" w:sz="4" w:space="0" w:color="4F2170"/>
              <w:right w:val="none" w:sz="0" w:space="0" w:color="auto"/>
            </w:tcBorders>
            <w:shd w:val="clear" w:color="auto" w:fill="4F2170"/>
          </w:tcPr>
          <w:p w14:paraId="19395AC8" w14:textId="77777777" w:rsidR="00524DBC" w:rsidRDefault="00524DBC" w:rsidP="00E03FED">
            <w:r>
              <w:t>Students will be able to:</w:t>
            </w:r>
          </w:p>
        </w:tc>
        <w:tc>
          <w:tcPr>
            <w:tcW w:w="1890" w:type="dxa"/>
            <w:tcBorders>
              <w:top w:val="none" w:sz="0" w:space="0" w:color="auto"/>
              <w:left w:val="none" w:sz="0" w:space="0" w:color="auto"/>
              <w:bottom w:val="single" w:sz="4" w:space="0" w:color="4F2170"/>
              <w:right w:val="none" w:sz="0" w:space="0" w:color="auto"/>
            </w:tcBorders>
            <w:shd w:val="clear" w:color="auto" w:fill="4F2170"/>
          </w:tcPr>
          <w:p w14:paraId="485C7177" w14:textId="77777777" w:rsidR="00524DBC" w:rsidRPr="006605A9" w:rsidRDefault="00524DBC" w:rsidP="00E03FED">
            <w:pPr>
              <w:cnfStyle w:val="100000000000" w:firstRow="1" w:lastRow="0" w:firstColumn="0" w:lastColumn="0" w:oddVBand="0" w:evenVBand="0" w:oddHBand="0" w:evenHBand="0" w:firstRowFirstColumn="0" w:firstRowLastColumn="0" w:lastRowFirstColumn="0" w:lastRowLastColumn="0"/>
            </w:pPr>
            <w:r>
              <w:t>Shortcomings</w:t>
            </w:r>
          </w:p>
        </w:tc>
        <w:tc>
          <w:tcPr>
            <w:tcW w:w="2340" w:type="dxa"/>
            <w:tcBorders>
              <w:top w:val="none" w:sz="0" w:space="0" w:color="auto"/>
              <w:left w:val="none" w:sz="0" w:space="0" w:color="auto"/>
              <w:bottom w:val="single" w:sz="4" w:space="0" w:color="4F2170"/>
              <w:right w:val="none" w:sz="0" w:space="0" w:color="auto"/>
            </w:tcBorders>
            <w:shd w:val="clear" w:color="auto" w:fill="4F2170"/>
          </w:tcPr>
          <w:p w14:paraId="1D79AEA9" w14:textId="77777777" w:rsidR="00524DBC" w:rsidRPr="005E296D" w:rsidRDefault="00524DBC" w:rsidP="00E03FED">
            <w:pPr>
              <w:cnfStyle w:val="100000000000" w:firstRow="1" w:lastRow="0" w:firstColumn="0" w:lastColumn="0" w:oddVBand="0" w:evenVBand="0" w:oddHBand="0" w:evenHBand="0" w:firstRowFirstColumn="0" w:firstRowLastColumn="0" w:lastRowFirstColumn="0" w:lastRowLastColumn="0"/>
            </w:pPr>
            <w:r>
              <w:t>Meets Expectations</w:t>
            </w:r>
          </w:p>
        </w:tc>
        <w:tc>
          <w:tcPr>
            <w:tcW w:w="2430" w:type="dxa"/>
            <w:tcBorders>
              <w:top w:val="none" w:sz="0" w:space="0" w:color="auto"/>
              <w:left w:val="none" w:sz="0" w:space="0" w:color="auto"/>
              <w:bottom w:val="single" w:sz="4" w:space="0" w:color="4F2170"/>
              <w:right w:val="none" w:sz="0" w:space="0" w:color="auto"/>
            </w:tcBorders>
            <w:shd w:val="clear" w:color="auto" w:fill="4F2170"/>
          </w:tcPr>
          <w:p w14:paraId="602E475C" w14:textId="77777777" w:rsidR="00524DBC" w:rsidRDefault="00524DBC" w:rsidP="00E03FED">
            <w:pPr>
              <w:cnfStyle w:val="100000000000" w:firstRow="1" w:lastRow="0" w:firstColumn="0" w:lastColumn="0" w:oddVBand="0" w:evenVBand="0" w:oddHBand="0" w:evenHBand="0" w:firstRowFirstColumn="0" w:firstRowLastColumn="0" w:lastRowFirstColumn="0" w:lastRowLastColumn="0"/>
            </w:pPr>
            <w:r>
              <w:t>Points of Excellence</w:t>
            </w:r>
          </w:p>
        </w:tc>
      </w:tr>
      <w:tr w:rsidR="00524DBC" w14:paraId="45003FA6" w14:textId="77777777" w:rsidTr="00A549BE">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695" w:type="dxa"/>
            <w:shd w:val="clear" w:color="auto" w:fill="FAF2FF"/>
          </w:tcPr>
          <w:p w14:paraId="10F5E3A9" w14:textId="2AAC9677" w:rsidR="00524DBC" w:rsidRPr="000F6C12" w:rsidRDefault="00227E24" w:rsidP="00E03FED">
            <w:pPr>
              <w:rPr>
                <w:sz w:val="22"/>
                <w:szCs w:val="22"/>
              </w:rPr>
            </w:pPr>
            <w:r>
              <w:rPr>
                <w:rFonts w:cstheme="minorHAnsi"/>
                <w:sz w:val="22"/>
                <w:szCs w:val="22"/>
              </w:rPr>
              <w:t>Analyze data to draw conclusions</w:t>
            </w:r>
          </w:p>
        </w:tc>
        <w:tc>
          <w:tcPr>
            <w:tcW w:w="1890" w:type="dxa"/>
            <w:shd w:val="clear" w:color="auto" w:fill="FAF2FF"/>
          </w:tcPr>
          <w:p w14:paraId="442B8058" w14:textId="37A8862A" w:rsidR="00524DBC" w:rsidRPr="000F6C12" w:rsidRDefault="00227E24"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Lacks </w:t>
            </w:r>
            <w:r w:rsidR="007F43F3">
              <w:rPr>
                <w:sz w:val="20"/>
                <w:szCs w:val="20"/>
              </w:rPr>
              <w:t xml:space="preserve">sufficient </w:t>
            </w:r>
            <w:r>
              <w:rPr>
                <w:sz w:val="20"/>
                <w:szCs w:val="20"/>
              </w:rPr>
              <w:t>analysis of data or published writing.</w:t>
            </w:r>
          </w:p>
        </w:tc>
        <w:tc>
          <w:tcPr>
            <w:tcW w:w="2340" w:type="dxa"/>
            <w:shd w:val="clear" w:color="auto" w:fill="FAF2FF"/>
          </w:tcPr>
          <w:p w14:paraId="53E7816A" w14:textId="20E8BF12" w:rsidR="00524DBC" w:rsidRPr="000F6C12" w:rsidRDefault="00227E24"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Analyzes data and/or published writing in an effective manner.</w:t>
            </w:r>
          </w:p>
        </w:tc>
        <w:tc>
          <w:tcPr>
            <w:tcW w:w="2430" w:type="dxa"/>
            <w:shd w:val="clear" w:color="auto" w:fill="FAF2FF"/>
          </w:tcPr>
          <w:p w14:paraId="735CAA5A" w14:textId="5E77A054" w:rsidR="00524DBC" w:rsidRPr="000F6C12" w:rsidRDefault="00227E24"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Analyzes data and/or published writing in an exemplary manner.</w:t>
            </w:r>
          </w:p>
        </w:tc>
      </w:tr>
    </w:tbl>
    <w:p w14:paraId="4DE1EE04" w14:textId="533D35E1" w:rsidR="00524DBC" w:rsidRDefault="00524DBC"/>
    <w:p w14:paraId="7B83E0C5" w14:textId="11E1949C" w:rsidR="00227E24" w:rsidRDefault="00227E24" w:rsidP="00227E24">
      <w:pPr>
        <w:pStyle w:val="Heading1"/>
      </w:pPr>
      <w:r>
        <w:t xml:space="preserve">Student Learning Outcome </w:t>
      </w:r>
      <w:r w:rsidR="007F43F3">
        <w:t>B</w:t>
      </w:r>
      <w:r>
        <w:t xml:space="preserve"> (</w:t>
      </w:r>
      <w:r w:rsidR="007F43F3">
        <w:t>evaluate the one or more selected above</w:t>
      </w:r>
      <w:r>
        <w:t>)</w:t>
      </w:r>
    </w:p>
    <w:tbl>
      <w:tblPr>
        <w:tblStyle w:val="GridTable4-Accent5"/>
        <w:tblW w:w="9355" w:type="dxa"/>
        <w:tblBorders>
          <w:top w:val="single" w:sz="4" w:space="0" w:color="4F2170"/>
          <w:left w:val="single" w:sz="4" w:space="0" w:color="4F2170"/>
          <w:bottom w:val="single" w:sz="4" w:space="0" w:color="4F2170"/>
          <w:right w:val="single" w:sz="4" w:space="0" w:color="4F2170"/>
          <w:insideH w:val="single" w:sz="4" w:space="0" w:color="4F2170"/>
          <w:insideV w:val="single" w:sz="4" w:space="0" w:color="4F2170"/>
        </w:tblBorders>
        <w:tblLook w:val="04A0" w:firstRow="1" w:lastRow="0" w:firstColumn="1" w:lastColumn="0" w:noHBand="0" w:noVBand="1"/>
      </w:tblPr>
      <w:tblGrid>
        <w:gridCol w:w="2695"/>
        <w:gridCol w:w="1890"/>
        <w:gridCol w:w="2340"/>
        <w:gridCol w:w="2430"/>
      </w:tblGrid>
      <w:tr w:rsidR="00227E24" w14:paraId="33474A9F" w14:textId="77777777" w:rsidTr="00E03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one" w:sz="0" w:space="0" w:color="auto"/>
              <w:bottom w:val="single" w:sz="4" w:space="0" w:color="4F2170"/>
              <w:right w:val="none" w:sz="0" w:space="0" w:color="auto"/>
            </w:tcBorders>
            <w:shd w:val="clear" w:color="auto" w:fill="4F2170"/>
          </w:tcPr>
          <w:p w14:paraId="0D52DDD4" w14:textId="77777777" w:rsidR="00227E24" w:rsidRPr="00AD517C" w:rsidRDefault="00227E24" w:rsidP="00E03FED">
            <w:pPr>
              <w:contextualSpacing/>
              <w:rPr>
                <w:rFonts w:cstheme="minorHAnsi"/>
              </w:rPr>
            </w:pPr>
            <w:r>
              <w:t>Students will be able to:</w:t>
            </w:r>
          </w:p>
        </w:tc>
        <w:tc>
          <w:tcPr>
            <w:tcW w:w="1890" w:type="dxa"/>
            <w:tcBorders>
              <w:top w:val="none" w:sz="0" w:space="0" w:color="auto"/>
              <w:left w:val="none" w:sz="0" w:space="0" w:color="auto"/>
              <w:bottom w:val="single" w:sz="4" w:space="0" w:color="4F2170"/>
              <w:right w:val="none" w:sz="0" w:space="0" w:color="auto"/>
            </w:tcBorders>
            <w:shd w:val="clear" w:color="auto" w:fill="4F2170"/>
          </w:tcPr>
          <w:p w14:paraId="3F14D606" w14:textId="77777777" w:rsidR="00227E24" w:rsidRDefault="00227E24" w:rsidP="00E03FED">
            <w:pPr>
              <w:cnfStyle w:val="100000000000" w:firstRow="1" w:lastRow="0" w:firstColumn="0" w:lastColumn="0" w:oddVBand="0" w:evenVBand="0" w:oddHBand="0" w:evenHBand="0" w:firstRowFirstColumn="0" w:firstRowLastColumn="0" w:lastRowFirstColumn="0" w:lastRowLastColumn="0"/>
            </w:pPr>
            <w:r>
              <w:t>Shortcomings</w:t>
            </w:r>
          </w:p>
        </w:tc>
        <w:tc>
          <w:tcPr>
            <w:tcW w:w="2340" w:type="dxa"/>
            <w:tcBorders>
              <w:top w:val="none" w:sz="0" w:space="0" w:color="auto"/>
              <w:left w:val="none" w:sz="0" w:space="0" w:color="auto"/>
              <w:bottom w:val="single" w:sz="4" w:space="0" w:color="4F2170"/>
              <w:right w:val="none" w:sz="0" w:space="0" w:color="auto"/>
            </w:tcBorders>
            <w:shd w:val="clear" w:color="auto" w:fill="4F2170"/>
          </w:tcPr>
          <w:p w14:paraId="1D636D03" w14:textId="77777777" w:rsidR="00227E24" w:rsidRDefault="00227E24" w:rsidP="00E03FED">
            <w:pPr>
              <w:cnfStyle w:val="100000000000" w:firstRow="1" w:lastRow="0" w:firstColumn="0" w:lastColumn="0" w:oddVBand="0" w:evenVBand="0" w:oddHBand="0" w:evenHBand="0" w:firstRowFirstColumn="0" w:firstRowLastColumn="0" w:lastRowFirstColumn="0" w:lastRowLastColumn="0"/>
            </w:pPr>
            <w:r>
              <w:t>Meets Expectations</w:t>
            </w:r>
          </w:p>
        </w:tc>
        <w:tc>
          <w:tcPr>
            <w:tcW w:w="2430" w:type="dxa"/>
            <w:tcBorders>
              <w:top w:val="none" w:sz="0" w:space="0" w:color="auto"/>
              <w:left w:val="none" w:sz="0" w:space="0" w:color="auto"/>
              <w:bottom w:val="single" w:sz="4" w:space="0" w:color="4F2170"/>
              <w:right w:val="none" w:sz="0" w:space="0" w:color="auto"/>
            </w:tcBorders>
            <w:shd w:val="clear" w:color="auto" w:fill="4F2170"/>
          </w:tcPr>
          <w:p w14:paraId="0A59D4D9" w14:textId="77777777" w:rsidR="00227E24" w:rsidRDefault="00227E24" w:rsidP="00E03FED">
            <w:pPr>
              <w:cnfStyle w:val="100000000000" w:firstRow="1" w:lastRow="0" w:firstColumn="0" w:lastColumn="0" w:oddVBand="0" w:evenVBand="0" w:oddHBand="0" w:evenHBand="0" w:firstRowFirstColumn="0" w:firstRowLastColumn="0" w:lastRowFirstColumn="0" w:lastRowLastColumn="0"/>
            </w:pPr>
            <w:r>
              <w:t>Points of Excellence</w:t>
            </w:r>
          </w:p>
        </w:tc>
      </w:tr>
      <w:tr w:rsidR="00227E24" w14:paraId="3796C4BD" w14:textId="77777777" w:rsidTr="00A549BE">
        <w:trPr>
          <w:cnfStyle w:val="000000100000" w:firstRow="0" w:lastRow="0" w:firstColumn="0" w:lastColumn="0" w:oddVBand="0" w:evenVBand="0" w:oddHBand="1" w:evenHBand="0" w:firstRowFirstColumn="0" w:firstRowLastColumn="0" w:lastRowFirstColumn="0" w:lastRowLastColumn="0"/>
          <w:trHeight w:val="1763"/>
        </w:trPr>
        <w:tc>
          <w:tcPr>
            <w:cnfStyle w:val="001000000000" w:firstRow="0" w:lastRow="0" w:firstColumn="1" w:lastColumn="0" w:oddVBand="0" w:evenVBand="0" w:oddHBand="0" w:evenHBand="0" w:firstRowFirstColumn="0" w:firstRowLastColumn="0" w:lastRowFirstColumn="0" w:lastRowLastColumn="0"/>
            <w:tcW w:w="2695" w:type="dxa"/>
            <w:shd w:val="clear" w:color="auto" w:fill="FAF2FF"/>
          </w:tcPr>
          <w:p w14:paraId="51067BAB" w14:textId="3B9BD5E8" w:rsidR="00227E24" w:rsidRPr="000F6C12" w:rsidRDefault="00227E24" w:rsidP="00E03FED">
            <w:pPr>
              <w:contextualSpacing/>
              <w:rPr>
                <w:rFonts w:cstheme="minorHAnsi"/>
                <w:sz w:val="22"/>
                <w:szCs w:val="22"/>
              </w:rPr>
            </w:pPr>
            <w:r>
              <w:rPr>
                <w:rFonts w:cstheme="minorHAnsi"/>
                <w:sz w:val="22"/>
                <w:szCs w:val="22"/>
              </w:rPr>
              <w:t>Demonstrate competent discourse in global, historical, and cultural experiences of diverse populations (B1)</w:t>
            </w:r>
          </w:p>
        </w:tc>
        <w:tc>
          <w:tcPr>
            <w:tcW w:w="1890" w:type="dxa"/>
            <w:shd w:val="clear" w:color="auto" w:fill="FAF2FF"/>
          </w:tcPr>
          <w:p w14:paraId="00C33B06" w14:textId="574346B5" w:rsidR="00227E24" w:rsidRPr="000F6C12" w:rsidRDefault="007F43F3"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Little to no engagement in discourse in global, historical, and cultural experiences of diverse populations.</w:t>
            </w:r>
          </w:p>
        </w:tc>
        <w:tc>
          <w:tcPr>
            <w:tcW w:w="2340" w:type="dxa"/>
            <w:shd w:val="clear" w:color="auto" w:fill="FAF2FF"/>
          </w:tcPr>
          <w:p w14:paraId="5CBBF7DF" w14:textId="0F951EA1" w:rsidR="00227E24" w:rsidRPr="000F6C12" w:rsidRDefault="007F43F3"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Effectively presents the capacity to engage in discourse in global, historical, and cultural experiences of diverse populations. </w:t>
            </w:r>
          </w:p>
        </w:tc>
        <w:tc>
          <w:tcPr>
            <w:tcW w:w="2430" w:type="dxa"/>
            <w:shd w:val="clear" w:color="auto" w:fill="FAF2FF"/>
          </w:tcPr>
          <w:p w14:paraId="322103AD" w14:textId="42C7507E" w:rsidR="00227E24" w:rsidRPr="000F6C12" w:rsidRDefault="007F43F3" w:rsidP="00E03FE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Excellently presents the capacity to engage in discourse in global, historical, and cultural experiences of diverse populations.</w:t>
            </w:r>
          </w:p>
        </w:tc>
      </w:tr>
      <w:tr w:rsidR="00227E24" w14:paraId="4F6F693F" w14:textId="77777777" w:rsidTr="00A549BE">
        <w:trPr>
          <w:trHeight w:val="1790"/>
        </w:trPr>
        <w:tc>
          <w:tcPr>
            <w:cnfStyle w:val="001000000000" w:firstRow="0" w:lastRow="0" w:firstColumn="1" w:lastColumn="0" w:oddVBand="0" w:evenVBand="0" w:oddHBand="0" w:evenHBand="0" w:firstRowFirstColumn="0" w:firstRowLastColumn="0" w:lastRowFirstColumn="0" w:lastRowLastColumn="0"/>
            <w:tcW w:w="2695" w:type="dxa"/>
            <w:tcBorders>
              <w:bottom w:val="single" w:sz="4" w:space="0" w:color="4F2170"/>
            </w:tcBorders>
          </w:tcPr>
          <w:p w14:paraId="2E0645AD" w14:textId="57D2702E" w:rsidR="00227E24" w:rsidRPr="000F6C12" w:rsidRDefault="007F43F3" w:rsidP="00E03FED">
            <w:pPr>
              <w:rPr>
                <w:rFonts w:cstheme="minorHAnsi"/>
                <w:sz w:val="22"/>
                <w:szCs w:val="22"/>
              </w:rPr>
            </w:pPr>
            <w:r>
              <w:rPr>
                <w:rFonts w:cstheme="minorHAnsi"/>
                <w:sz w:val="22"/>
                <w:szCs w:val="22"/>
              </w:rPr>
              <w:t>Understand the interconnectedness of the human experience with a posture of humility while celebrating difference (B2)</w:t>
            </w:r>
          </w:p>
        </w:tc>
        <w:tc>
          <w:tcPr>
            <w:tcW w:w="1890" w:type="dxa"/>
            <w:tcBorders>
              <w:bottom w:val="single" w:sz="4" w:space="0" w:color="4F2170"/>
            </w:tcBorders>
          </w:tcPr>
          <w:p w14:paraId="41ABCE79" w14:textId="4716E337" w:rsidR="00227E24" w:rsidRPr="000F6C12" w:rsidRDefault="007F43F3" w:rsidP="00E03FE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Little to no demonstration of understanding or humility in relation to the human experience and diversity.</w:t>
            </w:r>
          </w:p>
        </w:tc>
        <w:tc>
          <w:tcPr>
            <w:tcW w:w="2340" w:type="dxa"/>
            <w:tcBorders>
              <w:bottom w:val="single" w:sz="4" w:space="0" w:color="4F2170"/>
            </w:tcBorders>
          </w:tcPr>
          <w:p w14:paraId="771CBC83" w14:textId="16080889" w:rsidR="00227E24" w:rsidRPr="000F6C12" w:rsidRDefault="007F43F3" w:rsidP="00E03FE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Effective demonstration of understanding or humility in relation to the human experience and diversity.</w:t>
            </w:r>
          </w:p>
        </w:tc>
        <w:tc>
          <w:tcPr>
            <w:tcW w:w="2430" w:type="dxa"/>
            <w:tcBorders>
              <w:bottom w:val="single" w:sz="4" w:space="0" w:color="4F2170"/>
            </w:tcBorders>
          </w:tcPr>
          <w:p w14:paraId="2478F583" w14:textId="6492CDB8" w:rsidR="00227E24" w:rsidRPr="000F6C12" w:rsidRDefault="007F43F3" w:rsidP="00E03FE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Exemplary demonstration of understanding or humility in relation to the human experience and diversity.</w:t>
            </w:r>
          </w:p>
        </w:tc>
      </w:tr>
      <w:tr w:rsidR="00A549BE" w14:paraId="639BEDF6" w14:textId="77777777" w:rsidTr="00A549BE">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2695" w:type="dxa"/>
            <w:shd w:val="clear" w:color="auto" w:fill="FAF2FF"/>
          </w:tcPr>
          <w:p w14:paraId="00257ABF" w14:textId="46030ADC" w:rsidR="00A549BE" w:rsidRPr="000F6C12" w:rsidRDefault="00A549BE" w:rsidP="00A549BE">
            <w:pPr>
              <w:rPr>
                <w:sz w:val="22"/>
                <w:szCs w:val="22"/>
              </w:rPr>
            </w:pPr>
            <w:r>
              <w:rPr>
                <w:sz w:val="22"/>
                <w:szCs w:val="22"/>
              </w:rPr>
              <w:t>Interrogate one’s internal and external views and values for greater self-awareness (B3)</w:t>
            </w:r>
          </w:p>
        </w:tc>
        <w:tc>
          <w:tcPr>
            <w:tcW w:w="1890" w:type="dxa"/>
            <w:shd w:val="clear" w:color="auto" w:fill="FAF2FF"/>
          </w:tcPr>
          <w:p w14:paraId="38E2913B" w14:textId="79D93C45" w:rsidR="00A549BE" w:rsidRPr="000F6C12" w:rsidRDefault="00A549BE" w:rsidP="00A549B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Little to no interrogation of personal views and little to no movement toward self-awareness.</w:t>
            </w:r>
          </w:p>
        </w:tc>
        <w:tc>
          <w:tcPr>
            <w:tcW w:w="2340" w:type="dxa"/>
            <w:shd w:val="clear" w:color="auto" w:fill="FAF2FF"/>
          </w:tcPr>
          <w:p w14:paraId="66EA65D7" w14:textId="6684B7DF" w:rsidR="00A549BE" w:rsidRPr="000F6C12" w:rsidRDefault="00A549BE" w:rsidP="00A549B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Effective interrogation of personal views with some attention to self-awareness.</w:t>
            </w:r>
          </w:p>
        </w:tc>
        <w:tc>
          <w:tcPr>
            <w:tcW w:w="2430" w:type="dxa"/>
            <w:shd w:val="clear" w:color="auto" w:fill="FAF2FF"/>
          </w:tcPr>
          <w:p w14:paraId="4951D66D" w14:textId="68120DD7" w:rsidR="00A549BE" w:rsidRPr="000F6C12" w:rsidRDefault="00A549BE" w:rsidP="00A549B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Exemplary interrogation of personal views with an eye toward self-awareness.</w:t>
            </w:r>
          </w:p>
        </w:tc>
      </w:tr>
    </w:tbl>
    <w:p w14:paraId="6E48D798" w14:textId="77777777" w:rsidR="00227E24" w:rsidRDefault="00227E24"/>
    <w:p w14:paraId="6840130F" w14:textId="77777777" w:rsidR="00A549BE" w:rsidRDefault="00A549BE">
      <w:pPr>
        <w:rPr>
          <w:rFonts w:asciiTheme="majorHAnsi" w:eastAsiaTheme="majorEastAsia" w:hAnsiTheme="majorHAnsi" w:cstheme="majorBidi"/>
          <w:color w:val="43266C"/>
          <w:sz w:val="32"/>
          <w:szCs w:val="32"/>
        </w:rPr>
      </w:pPr>
      <w:r>
        <w:br w:type="page"/>
      </w:r>
    </w:p>
    <w:p w14:paraId="137B81BE" w14:textId="17A9CD92" w:rsidR="001521C6" w:rsidRDefault="002E3BEE" w:rsidP="002E3BEE">
      <w:pPr>
        <w:pStyle w:val="Heading1"/>
      </w:pPr>
      <w:r>
        <w:lastRenderedPageBreak/>
        <w:t>Disciplines to Consider</w:t>
      </w:r>
    </w:p>
    <w:p w14:paraId="7F0EFA88" w14:textId="37162E16" w:rsidR="001521C6" w:rsidRPr="001521C6" w:rsidRDefault="001521C6" w:rsidP="002E3BEE">
      <w:pPr>
        <w:rPr>
          <w:rFonts w:ascii="Times New Roman" w:hAnsi="Times New Roman"/>
        </w:rPr>
      </w:pPr>
      <w:r w:rsidRPr="001521C6">
        <w:t xml:space="preserve">Proposed courses should fit commonly accepted practices across disciplines. As an external indicator of what constitutes Humanities disciplines, we have consulted the American Academy </w:t>
      </w:r>
    </w:p>
    <w:p w14:paraId="0D65458E" w14:textId="1F146CD0" w:rsidR="001521C6" w:rsidRPr="001521C6" w:rsidRDefault="001521C6" w:rsidP="002E3BEE">
      <w:pPr>
        <w:rPr>
          <w:rFonts w:ascii="Times New Roman" w:hAnsi="Times New Roman"/>
        </w:rPr>
      </w:pPr>
      <w:r w:rsidRPr="001521C6">
        <w:t xml:space="preserve">of Arts and Sciences definition, which lists the following disciplines as humanities: </w:t>
      </w:r>
    </w:p>
    <w:p w14:paraId="4EA885B2" w14:textId="77777777" w:rsidR="002E3BEE" w:rsidRPr="002E3BEE" w:rsidRDefault="001521C6" w:rsidP="002E3BEE">
      <w:pPr>
        <w:pStyle w:val="ListParagraph"/>
        <w:numPr>
          <w:ilvl w:val="0"/>
          <w:numId w:val="3"/>
        </w:numPr>
        <w:rPr>
          <w:rFonts w:ascii="Times New Roman" w:hAnsi="Times New Roman"/>
        </w:rPr>
      </w:pPr>
      <w:r w:rsidRPr="002E3BEE">
        <w:t xml:space="preserve">Art and music history, musicology, and the academic study of drama and cinema </w:t>
      </w:r>
    </w:p>
    <w:p w14:paraId="1B235C66" w14:textId="77777777" w:rsidR="002E3BEE" w:rsidRDefault="001521C6" w:rsidP="002E3BEE">
      <w:pPr>
        <w:pStyle w:val="ListParagraph"/>
        <w:numPr>
          <w:ilvl w:val="0"/>
          <w:numId w:val="3"/>
        </w:numPr>
      </w:pPr>
      <w:r w:rsidRPr="002E3BEE">
        <w:t>American Studies and Area Studies (e.g., Latin American Studies, Africana Studies, etc.)</w:t>
      </w:r>
    </w:p>
    <w:p w14:paraId="7C49C1C9" w14:textId="77777777" w:rsidR="002E3BEE" w:rsidRDefault="001521C6" w:rsidP="002E3BEE">
      <w:pPr>
        <w:pStyle w:val="ListParagraph"/>
        <w:numPr>
          <w:ilvl w:val="0"/>
          <w:numId w:val="3"/>
        </w:numPr>
      </w:pPr>
      <w:r w:rsidRPr="002E3BEE">
        <w:t>Archeology</w:t>
      </w:r>
    </w:p>
    <w:p w14:paraId="6D40E032" w14:textId="77777777" w:rsidR="002E3BEE" w:rsidRPr="002E3BEE" w:rsidRDefault="001521C6" w:rsidP="002E3BEE">
      <w:pPr>
        <w:pStyle w:val="ListParagraph"/>
        <w:numPr>
          <w:ilvl w:val="0"/>
          <w:numId w:val="3"/>
        </w:numPr>
        <w:rPr>
          <w:rFonts w:ascii="Times New Roman" w:hAnsi="Times New Roman"/>
        </w:rPr>
      </w:pPr>
      <w:r w:rsidRPr="002E3BEE">
        <w:t xml:space="preserve">Communication, including media studies, but not professionalization-oriented coursework </w:t>
      </w:r>
    </w:p>
    <w:p w14:paraId="1679A978" w14:textId="77777777" w:rsidR="002E3BEE" w:rsidRDefault="001521C6" w:rsidP="002E3BEE">
      <w:pPr>
        <w:pStyle w:val="ListParagraph"/>
        <w:numPr>
          <w:ilvl w:val="0"/>
          <w:numId w:val="3"/>
        </w:numPr>
      </w:pPr>
      <w:r w:rsidRPr="002E3BEE">
        <w:t>Cultural, Ethnic, &amp; Gender Studies: Programs studying from an interdisciplinary perspective race, ethnic, gender, or cultural groups, such as Black studies, Hispanic studies, women’s studies, gender studies.</w:t>
      </w:r>
    </w:p>
    <w:p w14:paraId="2EE63609" w14:textId="77777777" w:rsidR="002E3BEE" w:rsidRPr="002E3BEE" w:rsidRDefault="001521C6" w:rsidP="002E3BEE">
      <w:pPr>
        <w:pStyle w:val="ListParagraph"/>
        <w:numPr>
          <w:ilvl w:val="0"/>
          <w:numId w:val="3"/>
        </w:numPr>
        <w:rPr>
          <w:rFonts w:ascii="Times New Roman" w:hAnsi="Times New Roman"/>
        </w:rPr>
      </w:pPr>
      <w:r w:rsidRPr="002E3BEE">
        <w:t xml:space="preserve">English Language and Literature: English, American, and Anglophone literature; general literature programs; creative writing; speech and rhetoric (does not include technical and business writing programs). </w:t>
      </w:r>
    </w:p>
    <w:p w14:paraId="5B9E03E0" w14:textId="77777777" w:rsidR="002E3BEE" w:rsidRDefault="001521C6" w:rsidP="002E3BEE">
      <w:pPr>
        <w:pStyle w:val="ListParagraph"/>
        <w:numPr>
          <w:ilvl w:val="0"/>
          <w:numId w:val="3"/>
        </w:numPr>
      </w:pPr>
      <w:r w:rsidRPr="002E3BEE">
        <w:t>History</w:t>
      </w:r>
    </w:p>
    <w:p w14:paraId="232A7B73" w14:textId="77777777" w:rsidR="002E3BEE" w:rsidRDefault="001521C6" w:rsidP="002E3BEE">
      <w:pPr>
        <w:pStyle w:val="ListParagraph"/>
        <w:numPr>
          <w:ilvl w:val="0"/>
          <w:numId w:val="3"/>
        </w:numPr>
      </w:pPr>
      <w:r w:rsidRPr="002E3BEE">
        <w:t>Languages &amp; Literatures Other than English: Modern languages and literature; linguistics; classics and ancient languages; comparative literature.</w:t>
      </w:r>
    </w:p>
    <w:p w14:paraId="2309B959" w14:textId="77777777" w:rsidR="002E3BEE" w:rsidRDefault="001521C6" w:rsidP="002E3BEE">
      <w:pPr>
        <w:pStyle w:val="ListParagraph"/>
        <w:numPr>
          <w:ilvl w:val="0"/>
          <w:numId w:val="3"/>
        </w:numPr>
      </w:pPr>
      <w:r w:rsidRPr="002E3BEE">
        <w:t>Jurisprudence: Includes philosophy of law.</w:t>
      </w:r>
    </w:p>
    <w:p w14:paraId="72CDE37B" w14:textId="77777777" w:rsidR="002E3BEE" w:rsidRDefault="001521C6" w:rsidP="002E3BEE">
      <w:pPr>
        <w:pStyle w:val="ListParagraph"/>
        <w:numPr>
          <w:ilvl w:val="0"/>
          <w:numId w:val="3"/>
        </w:numPr>
      </w:pPr>
      <w:r w:rsidRPr="002E3BEE">
        <w:t>Philosophy</w:t>
      </w:r>
    </w:p>
    <w:p w14:paraId="1DF69D5C" w14:textId="77777777" w:rsidR="002E3BEE" w:rsidRDefault="001521C6" w:rsidP="002E3BEE">
      <w:pPr>
        <w:pStyle w:val="ListParagraph"/>
        <w:numPr>
          <w:ilvl w:val="0"/>
          <w:numId w:val="3"/>
        </w:numPr>
      </w:pPr>
      <w:r w:rsidRPr="002E3BEE">
        <w:t>Religion: Programs in the comparative, nonsectarian study of religion; studies of particular religions; history of religion; does not include programs in theology or ministry.</w:t>
      </w:r>
    </w:p>
    <w:p w14:paraId="233A16D8" w14:textId="1DDC0D4A" w:rsidR="001521C6" w:rsidRPr="002E3BEE" w:rsidRDefault="001521C6" w:rsidP="002E3BEE">
      <w:pPr>
        <w:pStyle w:val="ListParagraph"/>
        <w:numPr>
          <w:ilvl w:val="0"/>
          <w:numId w:val="3"/>
        </w:numPr>
        <w:rPr>
          <w:rFonts w:ascii="Times New Roman" w:hAnsi="Times New Roman"/>
        </w:rPr>
      </w:pPr>
      <w:r w:rsidRPr="002E3BEE">
        <w:t xml:space="preserve">Selected Interdisciplinary Studies: General humanities programs; programs in the study of a particular historical period (e.g., medieval and Renaissance studies, classical and ancient studies, holocaust studies, etc.). </w:t>
      </w:r>
    </w:p>
    <w:p w14:paraId="6AB87D07" w14:textId="77777777" w:rsidR="002E3BEE" w:rsidRDefault="002E3BEE" w:rsidP="002E3BEE"/>
    <w:p w14:paraId="4586E778" w14:textId="689AF57C" w:rsidR="002E3BEE" w:rsidRDefault="001521C6" w:rsidP="002E3BEE">
      <w:r w:rsidRPr="001521C6">
        <w:t xml:space="preserve">The criteria </w:t>
      </w:r>
      <w:r w:rsidR="002E3BEE">
        <w:t>team</w:t>
      </w:r>
      <w:r w:rsidRPr="001521C6">
        <w:t xml:space="preserve"> anticipate</w:t>
      </w:r>
      <w:r w:rsidR="002E3BEE">
        <w:t>s</w:t>
      </w:r>
      <w:r w:rsidRPr="001521C6">
        <w:t xml:space="preserve"> some overlap </w:t>
      </w:r>
      <w:r w:rsidR="002E3BEE">
        <w:t>with other menus, particularly</w:t>
      </w:r>
      <w:r w:rsidRPr="001521C6">
        <w:t xml:space="preserve"> cultural literacy. </w:t>
      </w:r>
    </w:p>
    <w:p w14:paraId="100683C7" w14:textId="77777777" w:rsidR="002E3BEE" w:rsidRDefault="002E3BEE" w:rsidP="002E3BEE"/>
    <w:p w14:paraId="068B277A" w14:textId="6D5EE423" w:rsidR="001521C6" w:rsidRDefault="002E3BEE" w:rsidP="002E3BEE">
      <w:r>
        <w:t>In ACU’s</w:t>
      </w:r>
      <w:r w:rsidR="001521C6" w:rsidRPr="001521C6">
        <w:t xml:space="preserve"> specific institutional context, </w:t>
      </w:r>
      <w:r>
        <w:t xml:space="preserve">the council recognizes </w:t>
      </w:r>
      <w:r w:rsidR="00230F91">
        <w:t>religion</w:t>
      </w:r>
      <w:r>
        <w:t xml:space="preserve"> as a humanities discipline but will not consider Bible courses for the Arts and Humanities menu because of the number of hours reserved </w:t>
      </w:r>
      <w:r w:rsidR="00230F91">
        <w:t>in the Bible and Theology menu for these courses</w:t>
      </w:r>
      <w:r>
        <w:t xml:space="preserve"> in the general education requirements.</w:t>
      </w:r>
    </w:p>
    <w:p w14:paraId="3E9A07E5" w14:textId="77777777" w:rsidR="002E3BEE" w:rsidRPr="001521C6" w:rsidRDefault="002E3BEE" w:rsidP="002E3BEE">
      <w:pPr>
        <w:rPr>
          <w:rFonts w:ascii="Times New Roman" w:hAnsi="Times New Roman"/>
        </w:rPr>
      </w:pPr>
    </w:p>
    <w:p w14:paraId="3580A330" w14:textId="51D5EE81" w:rsidR="003A0898" w:rsidRPr="005F0EFA" w:rsidRDefault="003A0898" w:rsidP="003A0898">
      <w:pPr>
        <w:rPr>
          <w:b/>
          <w:bCs/>
        </w:rPr>
      </w:pPr>
      <w:r w:rsidRPr="005F0EFA">
        <w:rPr>
          <w:b/>
          <w:bCs/>
        </w:rPr>
        <w:t>Resources:</w:t>
      </w:r>
    </w:p>
    <w:p w14:paraId="172BA90D" w14:textId="54B4E51D" w:rsidR="003A0898" w:rsidRDefault="00E07EAB" w:rsidP="005F0EFA">
      <w:pPr>
        <w:pStyle w:val="ListParagraph"/>
        <w:numPr>
          <w:ilvl w:val="0"/>
          <w:numId w:val="4"/>
        </w:numPr>
      </w:pPr>
      <w:hyperlink r:id="rId7" w:history="1">
        <w:r w:rsidR="003A0898" w:rsidRPr="003A0898">
          <w:rPr>
            <w:rStyle w:val="Hyperlink"/>
          </w:rPr>
          <w:t>American Academy of Arts &amp; Sciences — Scope of the Humanities</w:t>
        </w:r>
      </w:hyperlink>
    </w:p>
    <w:p w14:paraId="0829A883" w14:textId="4898545A" w:rsidR="003A0898" w:rsidRDefault="00E07EAB" w:rsidP="005F0EFA">
      <w:pPr>
        <w:pStyle w:val="ListParagraph"/>
        <w:numPr>
          <w:ilvl w:val="0"/>
          <w:numId w:val="4"/>
        </w:numPr>
      </w:pPr>
      <w:hyperlink r:id="rId8" w:history="1">
        <w:r w:rsidR="003A0898" w:rsidRPr="003A0898">
          <w:rPr>
            <w:rStyle w:val="Hyperlink"/>
          </w:rPr>
          <w:t>4Humanities — Five Definitions of the Humanities</w:t>
        </w:r>
      </w:hyperlink>
    </w:p>
    <w:p w14:paraId="50A3F038" w14:textId="1100EDCC" w:rsidR="001521C6" w:rsidRDefault="00E07EAB" w:rsidP="005F0EFA">
      <w:pPr>
        <w:pStyle w:val="ListParagraph"/>
        <w:numPr>
          <w:ilvl w:val="0"/>
          <w:numId w:val="4"/>
        </w:numPr>
      </w:pPr>
      <w:hyperlink r:id="rId9" w:history="1">
        <w:r w:rsidR="003A0898" w:rsidRPr="003A0898">
          <w:rPr>
            <w:rStyle w:val="Hyperlink"/>
          </w:rPr>
          <w:t>Cambridge University Press — What Are the Humanities For?</w:t>
        </w:r>
      </w:hyperlink>
    </w:p>
    <w:sectPr w:rsidR="001521C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37984" w14:textId="77777777" w:rsidR="00E07EAB" w:rsidRDefault="00E07EAB" w:rsidP="00A81822">
      <w:r>
        <w:separator/>
      </w:r>
    </w:p>
  </w:endnote>
  <w:endnote w:type="continuationSeparator" w:id="0">
    <w:p w14:paraId="08A42E6F" w14:textId="77777777" w:rsidR="00E07EAB" w:rsidRDefault="00E07EAB" w:rsidP="00A8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5721614"/>
      <w:docPartObj>
        <w:docPartGallery w:val="Page Numbers (Bottom of Page)"/>
        <w:docPartUnique/>
      </w:docPartObj>
    </w:sdtPr>
    <w:sdtEndPr>
      <w:rPr>
        <w:rStyle w:val="PageNumber"/>
      </w:rPr>
    </w:sdtEndPr>
    <w:sdtContent>
      <w:p w14:paraId="25D0F14D" w14:textId="4E9B27F3" w:rsidR="00A81822" w:rsidRDefault="00A81822" w:rsidP="005153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F1AEEF" w14:textId="77777777" w:rsidR="00A81822" w:rsidRDefault="00A81822" w:rsidP="00A818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3991601"/>
      <w:docPartObj>
        <w:docPartGallery w:val="Page Numbers (Bottom of Page)"/>
        <w:docPartUnique/>
      </w:docPartObj>
    </w:sdtPr>
    <w:sdtEndPr>
      <w:rPr>
        <w:rStyle w:val="PageNumber"/>
      </w:rPr>
    </w:sdtEndPr>
    <w:sdtContent>
      <w:p w14:paraId="0B13C670" w14:textId="7A533B60" w:rsidR="00A81822" w:rsidRDefault="00A81822" w:rsidP="005153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79FE0B" w14:textId="46008576" w:rsidR="00A81822" w:rsidRDefault="00A81822" w:rsidP="00A81822">
    <w:pPr>
      <w:pStyle w:val="Footer"/>
      <w:ind w:right="360"/>
    </w:pPr>
    <w:r>
      <w:t>Approved by UGEC on April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7125" w14:textId="77777777" w:rsidR="00E07EAB" w:rsidRDefault="00E07EAB" w:rsidP="00A81822">
      <w:r>
        <w:separator/>
      </w:r>
    </w:p>
  </w:footnote>
  <w:footnote w:type="continuationSeparator" w:id="0">
    <w:p w14:paraId="783F8446" w14:textId="77777777" w:rsidR="00E07EAB" w:rsidRDefault="00E07EAB" w:rsidP="00A8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816"/>
    <w:multiLevelType w:val="hybridMultilevel"/>
    <w:tmpl w:val="E350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D710B"/>
    <w:multiLevelType w:val="hybridMultilevel"/>
    <w:tmpl w:val="F0EA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D6124C"/>
    <w:multiLevelType w:val="hybridMultilevel"/>
    <w:tmpl w:val="1FEA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23AAB"/>
    <w:multiLevelType w:val="hybridMultilevel"/>
    <w:tmpl w:val="E1AA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06"/>
    <w:rsid w:val="000C4509"/>
    <w:rsid w:val="001521C6"/>
    <w:rsid w:val="00227E24"/>
    <w:rsid w:val="00230F91"/>
    <w:rsid w:val="002E3BEE"/>
    <w:rsid w:val="00323317"/>
    <w:rsid w:val="003A0898"/>
    <w:rsid w:val="004C2063"/>
    <w:rsid w:val="00524DBC"/>
    <w:rsid w:val="00527EFC"/>
    <w:rsid w:val="005F0EFA"/>
    <w:rsid w:val="00725A64"/>
    <w:rsid w:val="007F43F3"/>
    <w:rsid w:val="00820811"/>
    <w:rsid w:val="009704BC"/>
    <w:rsid w:val="00A549BE"/>
    <w:rsid w:val="00A81822"/>
    <w:rsid w:val="00C00A81"/>
    <w:rsid w:val="00CA7A06"/>
    <w:rsid w:val="00E07EAB"/>
    <w:rsid w:val="00E2531E"/>
    <w:rsid w:val="00EA0132"/>
    <w:rsid w:val="00F8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0A57"/>
  <w15:chartTrackingRefBased/>
  <w15:docId w15:val="{3C5F45A1-F471-6E49-81DF-D2780744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A06"/>
  </w:style>
  <w:style w:type="paragraph" w:styleId="Heading1">
    <w:name w:val="heading 1"/>
    <w:basedOn w:val="Normal"/>
    <w:next w:val="Normal"/>
    <w:link w:val="Heading1Char"/>
    <w:uiPriority w:val="9"/>
    <w:qFormat/>
    <w:rsid w:val="00CA7A06"/>
    <w:pPr>
      <w:keepNext/>
      <w:keepLines/>
      <w:spacing w:before="240"/>
      <w:outlineLvl w:val="0"/>
    </w:pPr>
    <w:rPr>
      <w:rFonts w:asciiTheme="majorHAnsi" w:eastAsiaTheme="majorEastAsia" w:hAnsiTheme="majorHAnsi" w:cstheme="majorBidi"/>
      <w:color w:val="43266C"/>
      <w:sz w:val="32"/>
      <w:szCs w:val="32"/>
    </w:rPr>
  </w:style>
  <w:style w:type="paragraph" w:styleId="Heading2">
    <w:name w:val="heading 2"/>
    <w:basedOn w:val="Normal"/>
    <w:next w:val="Normal"/>
    <w:link w:val="Heading2Char"/>
    <w:uiPriority w:val="9"/>
    <w:unhideWhenUsed/>
    <w:qFormat/>
    <w:rsid w:val="00CA7A06"/>
    <w:pPr>
      <w:keepNext/>
      <w:keepLines/>
      <w:spacing w:before="40"/>
      <w:outlineLvl w:val="1"/>
    </w:pPr>
    <w:rPr>
      <w:rFonts w:asciiTheme="majorHAnsi" w:eastAsiaTheme="majorEastAsia" w:hAnsiTheme="majorHAnsi" w:cstheme="majorBidi"/>
      <w:color w:val="43266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06"/>
    <w:rPr>
      <w:rFonts w:asciiTheme="majorHAnsi" w:eastAsiaTheme="majorEastAsia" w:hAnsiTheme="majorHAnsi" w:cstheme="majorBidi"/>
      <w:color w:val="43266C"/>
      <w:sz w:val="32"/>
      <w:szCs w:val="32"/>
    </w:rPr>
  </w:style>
  <w:style w:type="character" w:customStyle="1" w:styleId="Heading2Char">
    <w:name w:val="Heading 2 Char"/>
    <w:basedOn w:val="DefaultParagraphFont"/>
    <w:link w:val="Heading2"/>
    <w:uiPriority w:val="9"/>
    <w:rsid w:val="00CA7A06"/>
    <w:rPr>
      <w:rFonts w:asciiTheme="majorHAnsi" w:eastAsiaTheme="majorEastAsia" w:hAnsiTheme="majorHAnsi" w:cstheme="majorBidi"/>
      <w:color w:val="43266C"/>
      <w:sz w:val="26"/>
      <w:szCs w:val="26"/>
    </w:rPr>
  </w:style>
  <w:style w:type="paragraph" w:styleId="Title">
    <w:name w:val="Title"/>
    <w:basedOn w:val="Normal"/>
    <w:next w:val="Normal"/>
    <w:link w:val="TitleChar"/>
    <w:uiPriority w:val="10"/>
    <w:qFormat/>
    <w:rsid w:val="00CA7A06"/>
    <w:pPr>
      <w:contextualSpacing/>
    </w:pPr>
    <w:rPr>
      <w:rFonts w:asciiTheme="majorHAnsi" w:eastAsiaTheme="majorEastAsia" w:hAnsiTheme="majorHAnsi" w:cstheme="majorBidi"/>
      <w:color w:val="43266C"/>
      <w:spacing w:val="-10"/>
      <w:kern w:val="28"/>
      <w:sz w:val="56"/>
      <w:szCs w:val="56"/>
    </w:rPr>
  </w:style>
  <w:style w:type="character" w:customStyle="1" w:styleId="TitleChar">
    <w:name w:val="Title Char"/>
    <w:basedOn w:val="DefaultParagraphFont"/>
    <w:link w:val="Title"/>
    <w:uiPriority w:val="10"/>
    <w:rsid w:val="00CA7A06"/>
    <w:rPr>
      <w:rFonts w:asciiTheme="majorHAnsi" w:eastAsiaTheme="majorEastAsia" w:hAnsiTheme="majorHAnsi" w:cstheme="majorBidi"/>
      <w:color w:val="43266C"/>
      <w:spacing w:val="-10"/>
      <w:kern w:val="28"/>
      <w:sz w:val="56"/>
      <w:szCs w:val="56"/>
    </w:rPr>
  </w:style>
  <w:style w:type="table" w:styleId="TableGrid">
    <w:name w:val="Table Grid"/>
    <w:basedOn w:val="TableNormal"/>
    <w:uiPriority w:val="39"/>
    <w:rsid w:val="00CA7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004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23317"/>
    <w:pPr>
      <w:ind w:left="720"/>
      <w:contextualSpacing/>
    </w:pPr>
  </w:style>
  <w:style w:type="character" w:styleId="Hyperlink">
    <w:name w:val="Hyperlink"/>
    <w:basedOn w:val="DefaultParagraphFont"/>
    <w:uiPriority w:val="99"/>
    <w:unhideWhenUsed/>
    <w:rsid w:val="003A0898"/>
    <w:rPr>
      <w:color w:val="0563C1" w:themeColor="hyperlink"/>
      <w:u w:val="single"/>
    </w:rPr>
  </w:style>
  <w:style w:type="character" w:styleId="UnresolvedMention">
    <w:name w:val="Unresolved Mention"/>
    <w:basedOn w:val="DefaultParagraphFont"/>
    <w:uiPriority w:val="99"/>
    <w:semiHidden/>
    <w:unhideWhenUsed/>
    <w:rsid w:val="003A0898"/>
    <w:rPr>
      <w:color w:val="605E5C"/>
      <w:shd w:val="clear" w:color="auto" w:fill="E1DFDD"/>
    </w:rPr>
  </w:style>
  <w:style w:type="character" w:styleId="FollowedHyperlink">
    <w:name w:val="FollowedHyperlink"/>
    <w:basedOn w:val="DefaultParagraphFont"/>
    <w:uiPriority w:val="99"/>
    <w:semiHidden/>
    <w:unhideWhenUsed/>
    <w:rsid w:val="005F0EFA"/>
    <w:rPr>
      <w:color w:val="954F72" w:themeColor="followedHyperlink"/>
      <w:u w:val="single"/>
    </w:rPr>
  </w:style>
  <w:style w:type="paragraph" w:styleId="Header">
    <w:name w:val="header"/>
    <w:basedOn w:val="Normal"/>
    <w:link w:val="HeaderChar"/>
    <w:uiPriority w:val="99"/>
    <w:unhideWhenUsed/>
    <w:rsid w:val="00A81822"/>
    <w:pPr>
      <w:tabs>
        <w:tab w:val="center" w:pos="4680"/>
        <w:tab w:val="right" w:pos="9360"/>
      </w:tabs>
    </w:pPr>
  </w:style>
  <w:style w:type="character" w:customStyle="1" w:styleId="HeaderChar">
    <w:name w:val="Header Char"/>
    <w:basedOn w:val="DefaultParagraphFont"/>
    <w:link w:val="Header"/>
    <w:uiPriority w:val="99"/>
    <w:rsid w:val="00A81822"/>
  </w:style>
  <w:style w:type="paragraph" w:styleId="Footer">
    <w:name w:val="footer"/>
    <w:basedOn w:val="Normal"/>
    <w:link w:val="FooterChar"/>
    <w:uiPriority w:val="99"/>
    <w:unhideWhenUsed/>
    <w:rsid w:val="00A81822"/>
    <w:pPr>
      <w:tabs>
        <w:tab w:val="center" w:pos="4680"/>
        <w:tab w:val="right" w:pos="9360"/>
      </w:tabs>
    </w:pPr>
  </w:style>
  <w:style w:type="character" w:customStyle="1" w:styleId="FooterChar">
    <w:name w:val="Footer Char"/>
    <w:basedOn w:val="DefaultParagraphFont"/>
    <w:link w:val="Footer"/>
    <w:uiPriority w:val="99"/>
    <w:rsid w:val="00A81822"/>
  </w:style>
  <w:style w:type="character" w:styleId="PageNumber">
    <w:name w:val="page number"/>
    <w:basedOn w:val="DefaultParagraphFont"/>
    <w:uiPriority w:val="99"/>
    <w:semiHidden/>
    <w:unhideWhenUsed/>
    <w:rsid w:val="00A81822"/>
  </w:style>
  <w:style w:type="table" w:styleId="GridTable4-Accent5">
    <w:name w:val="Grid Table 4 Accent 5"/>
    <w:basedOn w:val="TableNormal"/>
    <w:uiPriority w:val="49"/>
    <w:rsid w:val="00524DB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9872">
      <w:bodyDiv w:val="1"/>
      <w:marLeft w:val="0"/>
      <w:marRight w:val="0"/>
      <w:marTop w:val="0"/>
      <w:marBottom w:val="0"/>
      <w:divBdr>
        <w:top w:val="none" w:sz="0" w:space="0" w:color="auto"/>
        <w:left w:val="none" w:sz="0" w:space="0" w:color="auto"/>
        <w:bottom w:val="none" w:sz="0" w:space="0" w:color="auto"/>
        <w:right w:val="none" w:sz="0" w:space="0" w:color="auto"/>
      </w:divBdr>
      <w:divsChild>
        <w:div w:id="1753891216">
          <w:marLeft w:val="0"/>
          <w:marRight w:val="0"/>
          <w:marTop w:val="0"/>
          <w:marBottom w:val="0"/>
          <w:divBdr>
            <w:top w:val="none" w:sz="0" w:space="0" w:color="auto"/>
            <w:left w:val="none" w:sz="0" w:space="0" w:color="auto"/>
            <w:bottom w:val="none" w:sz="0" w:space="0" w:color="auto"/>
            <w:right w:val="none" w:sz="0" w:space="0" w:color="auto"/>
          </w:divBdr>
          <w:divsChild>
            <w:div w:id="839269686">
              <w:marLeft w:val="0"/>
              <w:marRight w:val="0"/>
              <w:marTop w:val="0"/>
              <w:marBottom w:val="0"/>
              <w:divBdr>
                <w:top w:val="none" w:sz="0" w:space="0" w:color="auto"/>
                <w:left w:val="none" w:sz="0" w:space="0" w:color="auto"/>
                <w:bottom w:val="none" w:sz="0" w:space="0" w:color="auto"/>
                <w:right w:val="none" w:sz="0" w:space="0" w:color="auto"/>
              </w:divBdr>
              <w:divsChild>
                <w:div w:id="2123454332">
                  <w:marLeft w:val="0"/>
                  <w:marRight w:val="0"/>
                  <w:marTop w:val="0"/>
                  <w:marBottom w:val="0"/>
                  <w:divBdr>
                    <w:top w:val="none" w:sz="0" w:space="0" w:color="auto"/>
                    <w:left w:val="none" w:sz="0" w:space="0" w:color="auto"/>
                    <w:bottom w:val="none" w:sz="0" w:space="0" w:color="auto"/>
                    <w:right w:val="none" w:sz="0" w:space="0" w:color="auto"/>
                  </w:divBdr>
                  <w:divsChild>
                    <w:div w:id="1236472766">
                      <w:marLeft w:val="0"/>
                      <w:marRight w:val="0"/>
                      <w:marTop w:val="0"/>
                      <w:marBottom w:val="0"/>
                      <w:divBdr>
                        <w:top w:val="none" w:sz="0" w:space="0" w:color="auto"/>
                        <w:left w:val="none" w:sz="0" w:space="0" w:color="auto"/>
                        <w:bottom w:val="none" w:sz="0" w:space="0" w:color="auto"/>
                        <w:right w:val="none" w:sz="0" w:space="0" w:color="auto"/>
                      </w:divBdr>
                    </w:div>
                  </w:divsChild>
                </w:div>
                <w:div w:id="406272677">
                  <w:marLeft w:val="0"/>
                  <w:marRight w:val="0"/>
                  <w:marTop w:val="0"/>
                  <w:marBottom w:val="0"/>
                  <w:divBdr>
                    <w:top w:val="none" w:sz="0" w:space="0" w:color="auto"/>
                    <w:left w:val="none" w:sz="0" w:space="0" w:color="auto"/>
                    <w:bottom w:val="none" w:sz="0" w:space="0" w:color="auto"/>
                    <w:right w:val="none" w:sz="0" w:space="0" w:color="auto"/>
                  </w:divBdr>
                  <w:divsChild>
                    <w:div w:id="1185558365">
                      <w:marLeft w:val="0"/>
                      <w:marRight w:val="0"/>
                      <w:marTop w:val="0"/>
                      <w:marBottom w:val="0"/>
                      <w:divBdr>
                        <w:top w:val="none" w:sz="0" w:space="0" w:color="auto"/>
                        <w:left w:val="none" w:sz="0" w:space="0" w:color="auto"/>
                        <w:bottom w:val="none" w:sz="0" w:space="0" w:color="auto"/>
                        <w:right w:val="none" w:sz="0" w:space="0" w:color="auto"/>
                      </w:divBdr>
                    </w:div>
                    <w:div w:id="573245161">
                      <w:marLeft w:val="0"/>
                      <w:marRight w:val="0"/>
                      <w:marTop w:val="0"/>
                      <w:marBottom w:val="0"/>
                      <w:divBdr>
                        <w:top w:val="none" w:sz="0" w:space="0" w:color="auto"/>
                        <w:left w:val="none" w:sz="0" w:space="0" w:color="auto"/>
                        <w:bottom w:val="none" w:sz="0" w:space="0" w:color="auto"/>
                        <w:right w:val="none" w:sz="0" w:space="0" w:color="auto"/>
                      </w:divBdr>
                    </w:div>
                  </w:divsChild>
                </w:div>
                <w:div w:id="22216742">
                  <w:marLeft w:val="0"/>
                  <w:marRight w:val="0"/>
                  <w:marTop w:val="0"/>
                  <w:marBottom w:val="0"/>
                  <w:divBdr>
                    <w:top w:val="none" w:sz="0" w:space="0" w:color="auto"/>
                    <w:left w:val="none" w:sz="0" w:space="0" w:color="auto"/>
                    <w:bottom w:val="none" w:sz="0" w:space="0" w:color="auto"/>
                    <w:right w:val="none" w:sz="0" w:space="0" w:color="auto"/>
                  </w:divBdr>
                  <w:divsChild>
                    <w:div w:id="18036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7700">
          <w:marLeft w:val="0"/>
          <w:marRight w:val="0"/>
          <w:marTop w:val="0"/>
          <w:marBottom w:val="0"/>
          <w:divBdr>
            <w:top w:val="none" w:sz="0" w:space="0" w:color="auto"/>
            <w:left w:val="none" w:sz="0" w:space="0" w:color="auto"/>
            <w:bottom w:val="none" w:sz="0" w:space="0" w:color="auto"/>
            <w:right w:val="none" w:sz="0" w:space="0" w:color="auto"/>
          </w:divBdr>
          <w:divsChild>
            <w:div w:id="2004384573">
              <w:marLeft w:val="0"/>
              <w:marRight w:val="0"/>
              <w:marTop w:val="0"/>
              <w:marBottom w:val="0"/>
              <w:divBdr>
                <w:top w:val="none" w:sz="0" w:space="0" w:color="auto"/>
                <w:left w:val="none" w:sz="0" w:space="0" w:color="auto"/>
                <w:bottom w:val="none" w:sz="0" w:space="0" w:color="auto"/>
                <w:right w:val="none" w:sz="0" w:space="0" w:color="auto"/>
              </w:divBdr>
              <w:divsChild>
                <w:div w:id="788550755">
                  <w:marLeft w:val="0"/>
                  <w:marRight w:val="0"/>
                  <w:marTop w:val="0"/>
                  <w:marBottom w:val="0"/>
                  <w:divBdr>
                    <w:top w:val="none" w:sz="0" w:space="0" w:color="auto"/>
                    <w:left w:val="none" w:sz="0" w:space="0" w:color="auto"/>
                    <w:bottom w:val="none" w:sz="0" w:space="0" w:color="auto"/>
                    <w:right w:val="none" w:sz="0" w:space="0" w:color="auto"/>
                  </w:divBdr>
                  <w:divsChild>
                    <w:div w:id="11406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31342">
      <w:bodyDiv w:val="1"/>
      <w:marLeft w:val="0"/>
      <w:marRight w:val="0"/>
      <w:marTop w:val="0"/>
      <w:marBottom w:val="0"/>
      <w:divBdr>
        <w:top w:val="none" w:sz="0" w:space="0" w:color="auto"/>
        <w:left w:val="none" w:sz="0" w:space="0" w:color="auto"/>
        <w:bottom w:val="none" w:sz="0" w:space="0" w:color="auto"/>
        <w:right w:val="none" w:sz="0" w:space="0" w:color="auto"/>
      </w:divBdr>
      <w:divsChild>
        <w:div w:id="1183547090">
          <w:marLeft w:val="0"/>
          <w:marRight w:val="0"/>
          <w:marTop w:val="0"/>
          <w:marBottom w:val="0"/>
          <w:divBdr>
            <w:top w:val="none" w:sz="0" w:space="0" w:color="auto"/>
            <w:left w:val="none" w:sz="0" w:space="0" w:color="auto"/>
            <w:bottom w:val="none" w:sz="0" w:space="0" w:color="auto"/>
            <w:right w:val="none" w:sz="0" w:space="0" w:color="auto"/>
          </w:divBdr>
          <w:divsChild>
            <w:div w:id="535587519">
              <w:marLeft w:val="0"/>
              <w:marRight w:val="0"/>
              <w:marTop w:val="0"/>
              <w:marBottom w:val="0"/>
              <w:divBdr>
                <w:top w:val="none" w:sz="0" w:space="0" w:color="auto"/>
                <w:left w:val="none" w:sz="0" w:space="0" w:color="auto"/>
                <w:bottom w:val="none" w:sz="0" w:space="0" w:color="auto"/>
                <w:right w:val="none" w:sz="0" w:space="0" w:color="auto"/>
              </w:divBdr>
              <w:divsChild>
                <w:div w:id="2117669943">
                  <w:marLeft w:val="0"/>
                  <w:marRight w:val="0"/>
                  <w:marTop w:val="0"/>
                  <w:marBottom w:val="0"/>
                  <w:divBdr>
                    <w:top w:val="none" w:sz="0" w:space="0" w:color="auto"/>
                    <w:left w:val="none" w:sz="0" w:space="0" w:color="auto"/>
                    <w:bottom w:val="none" w:sz="0" w:space="0" w:color="auto"/>
                    <w:right w:val="none" w:sz="0" w:space="0" w:color="auto"/>
                  </w:divBdr>
                  <w:divsChild>
                    <w:div w:id="2025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humanities.org/2014/12/what-are-the-human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cad.org/humanities-indicators/scope-of-human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mbridge.org/core/books/what-are-the-humanities-for/DFF650636F7B1E233A1E14059FC13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dc:description/>
  <cp:lastModifiedBy>Karen Witemeyer</cp:lastModifiedBy>
  <cp:revision>2</cp:revision>
  <dcterms:created xsi:type="dcterms:W3CDTF">2022-05-12T19:49:00Z</dcterms:created>
  <dcterms:modified xsi:type="dcterms:W3CDTF">2022-05-12T19:49:00Z</dcterms:modified>
</cp:coreProperties>
</file>