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7384" w14:textId="77465B08" w:rsidR="00CA7A06" w:rsidRPr="00A729E5" w:rsidRDefault="00CA7A06" w:rsidP="00CA7A06">
      <w:pPr>
        <w:pStyle w:val="Title"/>
        <w:rPr>
          <w:sz w:val="48"/>
          <w:szCs w:val="48"/>
        </w:rPr>
      </w:pPr>
      <w:bookmarkStart w:id="0" w:name="_GoBack"/>
      <w:bookmarkEnd w:id="0"/>
      <w:r w:rsidRPr="00A729E5">
        <w:rPr>
          <w:sz w:val="48"/>
          <w:szCs w:val="48"/>
        </w:rPr>
        <w:t xml:space="preserve">Application for </w:t>
      </w:r>
      <w:r w:rsidR="00F95B18">
        <w:rPr>
          <w:sz w:val="48"/>
          <w:szCs w:val="48"/>
        </w:rPr>
        <w:t>Life and Physical Sciences</w:t>
      </w:r>
      <w:r w:rsidRPr="00A729E5">
        <w:rPr>
          <w:sz w:val="48"/>
          <w:szCs w:val="48"/>
        </w:rPr>
        <w:t xml:space="preserve"> Menu</w:t>
      </w:r>
    </w:p>
    <w:p w14:paraId="402F574C" w14:textId="77777777" w:rsidR="00F80043" w:rsidRDefault="00F80043" w:rsidP="00F80043">
      <w:pPr>
        <w:pStyle w:val="Heading1"/>
      </w:pPr>
      <w:r>
        <w:t>Guidelines For All General Education Courses</w:t>
      </w:r>
    </w:p>
    <w:p w14:paraId="7334C710" w14:textId="77777777" w:rsidR="00F80043" w:rsidRDefault="00F80043" w:rsidP="00F800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general education courses must be 100-level or above. </w:t>
      </w:r>
    </w:p>
    <w:p w14:paraId="4AC5A374" w14:textId="77777777" w:rsidR="00F80043" w:rsidRPr="008347B6" w:rsidRDefault="00F80043" w:rsidP="00F800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General education courses should present a breadth of knowledge, not focusing on </w:t>
      </w:r>
      <w:r w:rsidRPr="008347B6">
        <w:rPr>
          <w:rFonts w:ascii="Calibri" w:hAnsi="Calibri" w:cs="Calibri"/>
        </w:rPr>
        <w:t xml:space="preserve">skills, techniques, and procedures specific to a particular occupation or profession. </w:t>
      </w:r>
    </w:p>
    <w:p w14:paraId="1B1C6FAF" w14:textId="77777777" w:rsidR="00F80043" w:rsidRDefault="00F80043" w:rsidP="00F800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Individual courses will fulfill only a single general education requirement. </w:t>
      </w:r>
    </w:p>
    <w:p w14:paraId="2CF55E8C" w14:textId="77777777" w:rsidR="00F80043" w:rsidRPr="008347B6" w:rsidRDefault="00F80043" w:rsidP="00F800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Courses free of prerequisites are preferred. Applications to add courses with </w:t>
      </w:r>
      <w:r w:rsidRPr="008347B6">
        <w:rPr>
          <w:rFonts w:ascii="Calibri" w:hAnsi="Calibri" w:cs="Calibri"/>
        </w:rPr>
        <w:t xml:space="preserve">prerequisites must provide additional evidence that the course contributes to a student’s breadth of knowledge and is not specific to a particular occupation or profession. </w:t>
      </w:r>
    </w:p>
    <w:p w14:paraId="5C38EFC2" w14:textId="77777777" w:rsidR="00F80043" w:rsidRDefault="00F80043" w:rsidP="00F800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course may appear on a maximum of two menus that accept applications (arts and humanities, cultural literacy, life and physical sciences, and social and behavioral sciences). </w:t>
      </w:r>
    </w:p>
    <w:p w14:paraId="317280D8" w14:textId="5FB36163" w:rsidR="00CA7A06" w:rsidRDefault="00F95B18" w:rsidP="00CA7A06">
      <w:pPr>
        <w:pStyle w:val="Heading1"/>
      </w:pPr>
      <w:r>
        <w:t>Life and Physical Sciences</w:t>
      </w:r>
      <w:r w:rsidR="00CA7A06">
        <w:t xml:space="preserve"> Description</w:t>
      </w:r>
    </w:p>
    <w:p w14:paraId="10C5BBE8" w14:textId="3CC361C4" w:rsidR="00CA7A06" w:rsidRPr="00605A9B" w:rsidRDefault="00CA7A06" w:rsidP="00CA7A06">
      <w:r>
        <w:t xml:space="preserve">Courses within this domain </w:t>
      </w:r>
      <w:r w:rsidR="007B578E">
        <w:t>use the methods and models of the natural sciences to describe, explain, and predict phenomena in the physical world; they employ empirical evidence, scientific principles, and interactions among natural phenomena to understand the world around us.</w:t>
      </w:r>
    </w:p>
    <w:p w14:paraId="0CC67A2B" w14:textId="77777777" w:rsidR="00CA7A06" w:rsidRDefault="00CA7A06" w:rsidP="00CA7A06">
      <w:pPr>
        <w:pStyle w:val="Heading1"/>
      </w:pPr>
      <w:r>
        <w:t>Instructions</w:t>
      </w:r>
    </w:p>
    <w:p w14:paraId="354970A7" w14:textId="73F361EE" w:rsidR="00CA7A06" w:rsidRDefault="00CA7A06" w:rsidP="00CA7A06">
      <w:r>
        <w:t xml:space="preserve">Complete this form and submit it with a course syllabus and approval chart to the University General Education Council. Faculty submitting an application should be prepared to perform annual assessment for their course. The assessment will be </w:t>
      </w:r>
      <w:r w:rsidR="00A455FE">
        <w:t>conducted with</w:t>
      </w:r>
      <w:r>
        <w:t xml:space="preserve"> the rubric </w:t>
      </w:r>
      <w:r w:rsidR="00A455FE">
        <w:t>included in</w:t>
      </w:r>
      <w:r>
        <w:t xml:space="preserve"> this course application.</w:t>
      </w:r>
      <w:r w:rsidR="001521C6">
        <w:t xml:space="preserve"> </w:t>
      </w:r>
    </w:p>
    <w:p w14:paraId="5D7396E0" w14:textId="77777777" w:rsidR="00CA7A06" w:rsidRDefault="00CA7A06" w:rsidP="00CA7A06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CA7A06" w14:paraId="3DD13F60" w14:textId="77777777" w:rsidTr="00E2531E">
        <w:trPr>
          <w:trHeight w:val="593"/>
        </w:trPr>
        <w:tc>
          <w:tcPr>
            <w:tcW w:w="3505" w:type="dxa"/>
          </w:tcPr>
          <w:p w14:paraId="366FF1E8" w14:textId="7EC44401" w:rsidR="00CA7A06" w:rsidRPr="00E2531E" w:rsidRDefault="00CA7A06" w:rsidP="00E2531E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Subject </w:t>
            </w:r>
            <w:r w:rsidR="00E2531E"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 xml:space="preserve">ode, </w:t>
            </w:r>
            <w:r w:rsidR="00E2531E"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 xml:space="preserve">ourse </w:t>
            </w:r>
            <w:r w:rsidR="00E2531E">
              <w:rPr>
                <w:b/>
                <w:bCs/>
              </w:rPr>
              <w:t>n</w:t>
            </w:r>
            <w:r w:rsidRPr="00E2531E">
              <w:rPr>
                <w:b/>
                <w:bCs/>
              </w:rPr>
              <w:t xml:space="preserve">umber, and </w:t>
            </w:r>
            <w:r w:rsidR="00E2531E">
              <w:rPr>
                <w:b/>
                <w:bCs/>
              </w:rPr>
              <w:t>t</w:t>
            </w:r>
            <w:r w:rsidRPr="00E2531E">
              <w:rPr>
                <w:b/>
                <w:bCs/>
              </w:rPr>
              <w:t xml:space="preserve">itle of </w:t>
            </w:r>
            <w:r w:rsidR="00E2531E"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>ourse:</w:t>
            </w:r>
          </w:p>
        </w:tc>
        <w:tc>
          <w:tcPr>
            <w:tcW w:w="5845" w:type="dxa"/>
          </w:tcPr>
          <w:p w14:paraId="7FA025A6" w14:textId="77777777" w:rsidR="00CA7A06" w:rsidRDefault="00CA7A06" w:rsidP="00E03FED"/>
        </w:tc>
      </w:tr>
      <w:tr w:rsidR="00CA7A06" w14:paraId="2939FBF6" w14:textId="77777777" w:rsidTr="00E2531E">
        <w:trPr>
          <w:trHeight w:val="350"/>
        </w:trPr>
        <w:tc>
          <w:tcPr>
            <w:tcW w:w="3505" w:type="dxa"/>
          </w:tcPr>
          <w:p w14:paraId="1F791946" w14:textId="238EDE10" w:rsidR="00CA7A06" w:rsidRPr="00E2531E" w:rsidRDefault="00CA7A06" w:rsidP="00E2531E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Terms </w:t>
            </w:r>
            <w:r w:rsidR="00E2531E">
              <w:rPr>
                <w:b/>
                <w:bCs/>
              </w:rPr>
              <w:t>o</w:t>
            </w:r>
            <w:r w:rsidRPr="00E2531E">
              <w:rPr>
                <w:b/>
                <w:bCs/>
              </w:rPr>
              <w:t>ffered:</w:t>
            </w:r>
          </w:p>
        </w:tc>
        <w:tc>
          <w:tcPr>
            <w:tcW w:w="5845" w:type="dxa"/>
          </w:tcPr>
          <w:p w14:paraId="03CB4C47" w14:textId="77777777" w:rsidR="00CA7A06" w:rsidRDefault="00CA7A06" w:rsidP="00E03FED"/>
        </w:tc>
      </w:tr>
      <w:tr w:rsidR="00CA7A06" w14:paraId="26D03B78" w14:textId="77777777" w:rsidTr="00E2531E">
        <w:trPr>
          <w:trHeight w:val="350"/>
        </w:trPr>
        <w:tc>
          <w:tcPr>
            <w:tcW w:w="3505" w:type="dxa"/>
          </w:tcPr>
          <w:p w14:paraId="3083E0BD" w14:textId="0E19D025" w:rsidR="00CA7A06" w:rsidRPr="00E2531E" w:rsidRDefault="00CA7A06" w:rsidP="00E2531E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Catalog </w:t>
            </w:r>
            <w:r w:rsidR="00E2531E">
              <w:rPr>
                <w:b/>
                <w:bCs/>
              </w:rPr>
              <w:t>d</w:t>
            </w:r>
            <w:r w:rsidRPr="00E2531E">
              <w:rPr>
                <w:b/>
                <w:bCs/>
              </w:rPr>
              <w:t>escription:</w:t>
            </w:r>
          </w:p>
        </w:tc>
        <w:tc>
          <w:tcPr>
            <w:tcW w:w="5845" w:type="dxa"/>
          </w:tcPr>
          <w:p w14:paraId="4E517A5E" w14:textId="77777777" w:rsidR="00CA7A06" w:rsidRDefault="00CA7A06" w:rsidP="00E03FED"/>
        </w:tc>
      </w:tr>
      <w:tr w:rsidR="00CA7A06" w14:paraId="6C63EBE6" w14:textId="77777777" w:rsidTr="00E2531E">
        <w:trPr>
          <w:trHeight w:val="350"/>
        </w:trPr>
        <w:tc>
          <w:tcPr>
            <w:tcW w:w="3505" w:type="dxa"/>
          </w:tcPr>
          <w:p w14:paraId="1D8643D6" w14:textId="1B2F5514" w:rsidR="00CA7A06" w:rsidRPr="00E2531E" w:rsidRDefault="00CA7A06" w:rsidP="00E2531E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Course </w:t>
            </w:r>
            <w:r w:rsidR="00E2531E">
              <w:rPr>
                <w:b/>
                <w:bCs/>
              </w:rPr>
              <w:t>p</w:t>
            </w:r>
            <w:r w:rsidRPr="00E2531E">
              <w:rPr>
                <w:b/>
                <w:bCs/>
              </w:rPr>
              <w:t>rerequisites:</w:t>
            </w:r>
          </w:p>
        </w:tc>
        <w:tc>
          <w:tcPr>
            <w:tcW w:w="5845" w:type="dxa"/>
          </w:tcPr>
          <w:p w14:paraId="42E52908" w14:textId="77777777" w:rsidR="00CA7A06" w:rsidRDefault="00CA7A06" w:rsidP="00E03FED"/>
        </w:tc>
      </w:tr>
      <w:tr w:rsidR="00CA7A06" w14:paraId="3C2ABC84" w14:textId="77777777" w:rsidTr="00E2531E">
        <w:trPr>
          <w:trHeight w:val="350"/>
        </w:trPr>
        <w:tc>
          <w:tcPr>
            <w:tcW w:w="3505" w:type="dxa"/>
          </w:tcPr>
          <w:p w14:paraId="70F2D2AD" w14:textId="77777777" w:rsidR="00CA7A06" w:rsidRDefault="00CA7A06" w:rsidP="00E2531E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>Cross-</w:t>
            </w:r>
            <w:r w:rsidR="00E2531E">
              <w:rPr>
                <w:b/>
                <w:bCs/>
              </w:rPr>
              <w:t>l</w:t>
            </w:r>
            <w:r w:rsidRPr="00E2531E">
              <w:rPr>
                <w:b/>
                <w:bCs/>
              </w:rPr>
              <w:t xml:space="preserve">isted </w:t>
            </w:r>
            <w:r w:rsidR="00E2531E"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>ourses:</w:t>
            </w:r>
          </w:p>
          <w:p w14:paraId="505DC825" w14:textId="31729629" w:rsidR="00D61AEB" w:rsidRPr="00D61AEB" w:rsidRDefault="00D61AEB" w:rsidP="00E2531E">
            <w:pPr>
              <w:rPr>
                <w:sz w:val="16"/>
                <w:szCs w:val="16"/>
              </w:rPr>
            </w:pPr>
            <w:r w:rsidRPr="00D61AEB">
              <w:rPr>
                <w:sz w:val="16"/>
                <w:szCs w:val="16"/>
              </w:rPr>
              <w:t>*Note: Many gen ed courses are cross-listed between the Abilene and Dallas campuses.</w:t>
            </w:r>
          </w:p>
        </w:tc>
        <w:tc>
          <w:tcPr>
            <w:tcW w:w="5845" w:type="dxa"/>
          </w:tcPr>
          <w:p w14:paraId="38D41B5E" w14:textId="77777777" w:rsidR="00CA7A06" w:rsidRDefault="00CA7A06" w:rsidP="00E03FED"/>
        </w:tc>
      </w:tr>
      <w:tr w:rsidR="00E2531E" w14:paraId="1EA01053" w14:textId="77777777" w:rsidTr="00E2531E">
        <w:trPr>
          <w:trHeight w:val="971"/>
        </w:trPr>
        <w:tc>
          <w:tcPr>
            <w:tcW w:w="3505" w:type="dxa"/>
          </w:tcPr>
          <w:p w14:paraId="1F8D1E84" w14:textId="00B8C12C" w:rsidR="00E2531E" w:rsidRPr="00E2531E" w:rsidRDefault="00E2531E" w:rsidP="00E2531E">
            <w:pPr>
              <w:rPr>
                <w:b/>
                <w:bCs/>
              </w:rPr>
            </w:pPr>
            <w:r>
              <w:rPr>
                <w:b/>
                <w:bCs/>
              </w:rPr>
              <w:t>Other general education menus on which the course appears or you are applying for:</w:t>
            </w:r>
          </w:p>
        </w:tc>
        <w:tc>
          <w:tcPr>
            <w:tcW w:w="5845" w:type="dxa"/>
          </w:tcPr>
          <w:p w14:paraId="03D85E23" w14:textId="77777777" w:rsidR="00E2531E" w:rsidRDefault="00E2531E" w:rsidP="00E03FED"/>
        </w:tc>
      </w:tr>
    </w:tbl>
    <w:p w14:paraId="5911AC37" w14:textId="77777777" w:rsidR="00A81822" w:rsidRDefault="00A81822" w:rsidP="00A81822">
      <w:pPr>
        <w:pStyle w:val="Heading1"/>
      </w:pPr>
      <w:r>
        <w:lastRenderedPageBreak/>
        <w:t>Prerequisites</w:t>
      </w:r>
    </w:p>
    <w:p w14:paraId="1608A043" w14:textId="7DE3E558" w:rsidR="00A81822" w:rsidRDefault="00EB5826" w:rsidP="00A81822">
      <w:r>
        <w:t>The council understands that many of the courses on this menu will have corequisites and that the second course in a sequence may also have a prerequisite.</w:t>
      </w:r>
    </w:p>
    <w:p w14:paraId="2AE25303" w14:textId="4797762D" w:rsidR="00EB5826" w:rsidRDefault="00EB5826" w:rsidP="00A81822"/>
    <w:p w14:paraId="189D7F41" w14:textId="2F48DFD6" w:rsidR="00EB5826" w:rsidRDefault="00EB5826" w:rsidP="00630D20">
      <w:pPr>
        <w:pStyle w:val="ListParagraph"/>
        <w:numPr>
          <w:ilvl w:val="0"/>
          <w:numId w:val="6"/>
        </w:numPr>
      </w:pPr>
      <w:r>
        <w:t>Is the course a lower-division (100- to 200-level) course in astronomy, biology, chemistry, physics, agricultural science, environmental science, or geology?</w:t>
      </w:r>
    </w:p>
    <w:p w14:paraId="37C4A9D3" w14:textId="09308ABE" w:rsidR="00CF3AB6" w:rsidRDefault="00A455FE" w:rsidP="00A455FE">
      <w:pPr>
        <w:ind w:firstLine="720"/>
      </w:pPr>
      <w:r w:rsidRPr="00A455FE">
        <w:rPr>
          <w:u w:val="single"/>
        </w:rPr>
        <w:t xml:space="preserve">      </w:t>
      </w:r>
      <w:r w:rsidR="00630D20">
        <w:t>Yes</w:t>
      </w:r>
      <w:r>
        <w:t xml:space="preserve"> </w:t>
      </w:r>
      <w:r>
        <w:tab/>
      </w:r>
      <w:r>
        <w:tab/>
      </w:r>
      <w:r w:rsidRPr="00A455FE">
        <w:rPr>
          <w:u w:val="single"/>
        </w:rPr>
        <w:t xml:space="preserve">      </w:t>
      </w:r>
      <w:r w:rsidR="00630D20">
        <w:t>No</w:t>
      </w:r>
    </w:p>
    <w:p w14:paraId="44687C37" w14:textId="77777777" w:rsidR="00630D20" w:rsidRDefault="00630D20" w:rsidP="00630D20">
      <w:pPr>
        <w:pStyle w:val="ListParagraph"/>
      </w:pPr>
    </w:p>
    <w:p w14:paraId="37144495" w14:textId="3363D5B8" w:rsidR="00630D20" w:rsidRDefault="00630D20" w:rsidP="00630D20">
      <w:pPr>
        <w:pStyle w:val="ListParagraph"/>
      </w:pPr>
      <w:r>
        <w:t>If yes, continue to 2. If no, please explain how this course meets the description of life or physical sciences above.</w:t>
      </w:r>
      <w:r w:rsidR="00820310">
        <w:t xml:space="preserve"> Applications for courses originating in other disciplines will be considered.</w:t>
      </w:r>
    </w:p>
    <w:p w14:paraId="180ABD5A" w14:textId="1B3A7A52" w:rsidR="00820310" w:rsidRDefault="00A455FE" w:rsidP="00630D20">
      <w:pPr>
        <w:pStyle w:val="ListParagraph"/>
      </w:pPr>
      <w:r>
        <w:tab/>
      </w:r>
    </w:p>
    <w:p w14:paraId="595E34DF" w14:textId="77777777" w:rsidR="00630D20" w:rsidRDefault="00630D20" w:rsidP="00630D20"/>
    <w:p w14:paraId="01A7E6C5" w14:textId="546BB836" w:rsidR="00630D20" w:rsidRDefault="00630D20" w:rsidP="00630D20">
      <w:pPr>
        <w:pStyle w:val="ListParagraph"/>
        <w:numPr>
          <w:ilvl w:val="0"/>
          <w:numId w:val="6"/>
        </w:numPr>
      </w:pPr>
      <w:r>
        <w:t>Does the course have more than one prerequisite and/or more than one corequisite?</w:t>
      </w:r>
    </w:p>
    <w:p w14:paraId="1BC031F7" w14:textId="77777777" w:rsidR="00A455FE" w:rsidRDefault="00A455FE" w:rsidP="00A455FE">
      <w:pPr>
        <w:pStyle w:val="ListParagraph"/>
      </w:pPr>
      <w:r w:rsidRPr="00A455FE">
        <w:rPr>
          <w:u w:val="single"/>
        </w:rPr>
        <w:t xml:space="preserve">      </w:t>
      </w:r>
      <w:r>
        <w:t xml:space="preserve">Yes </w:t>
      </w:r>
      <w:r>
        <w:tab/>
      </w:r>
      <w:r>
        <w:tab/>
      </w:r>
      <w:r w:rsidRPr="00A455FE">
        <w:rPr>
          <w:u w:val="single"/>
        </w:rPr>
        <w:t xml:space="preserve">      </w:t>
      </w:r>
      <w:r>
        <w:t>No</w:t>
      </w:r>
    </w:p>
    <w:p w14:paraId="337FED3F" w14:textId="77777777" w:rsidR="00630D20" w:rsidRDefault="00630D20" w:rsidP="00630D20">
      <w:pPr>
        <w:pStyle w:val="ListParagraph"/>
      </w:pPr>
    </w:p>
    <w:p w14:paraId="1CECF327" w14:textId="1D50BE00" w:rsidR="00630D20" w:rsidRDefault="00630D20" w:rsidP="00630D20">
      <w:pPr>
        <w:pStyle w:val="ListParagraph"/>
      </w:pPr>
      <w:r>
        <w:t>If yes, continue to 3. If no, please explain why an exception should be made to include this course in the Life and Physical Sciences menu.</w:t>
      </w:r>
    </w:p>
    <w:p w14:paraId="3D95B594" w14:textId="28C5121D" w:rsidR="00820310" w:rsidRDefault="00820310" w:rsidP="00630D20">
      <w:pPr>
        <w:pStyle w:val="ListParagraph"/>
      </w:pPr>
      <w:r>
        <w:tab/>
      </w:r>
    </w:p>
    <w:p w14:paraId="365DD441" w14:textId="77777777" w:rsidR="00630D20" w:rsidRDefault="00630D20" w:rsidP="00630D20"/>
    <w:p w14:paraId="5D09509B" w14:textId="2B54ABE4" w:rsidR="00A81822" w:rsidRDefault="00EB5826" w:rsidP="00A81822">
      <w:pPr>
        <w:pStyle w:val="ListParagraph"/>
        <w:numPr>
          <w:ilvl w:val="0"/>
          <w:numId w:val="6"/>
        </w:numPr>
      </w:pPr>
      <w:r>
        <w:t>If the course has prerequisites, provide evidence that the course contributes to a student’s breadth of knowledge. Also provide evidence that the course content is not specific to a particular occupation or profession (200 words or less).</w:t>
      </w:r>
    </w:p>
    <w:p w14:paraId="6A531CFF" w14:textId="77777777" w:rsidR="00820310" w:rsidRDefault="00820310" w:rsidP="00820310">
      <w:pPr>
        <w:pStyle w:val="ListParagraph"/>
        <w:ind w:left="1440"/>
      </w:pPr>
    </w:p>
    <w:p w14:paraId="3EF179DB" w14:textId="5E4CDACA" w:rsidR="00CA7A06" w:rsidRDefault="00A81822" w:rsidP="00CA7A06">
      <w:pPr>
        <w:pStyle w:val="Heading1"/>
      </w:pPr>
      <w:r>
        <w:t>Relevant</w:t>
      </w:r>
      <w:r w:rsidR="00725A64">
        <w:t xml:space="preserve"> Outcomes</w:t>
      </w:r>
    </w:p>
    <w:p w14:paraId="1CA88565" w14:textId="0400F4CD" w:rsidR="00323317" w:rsidRPr="00EB5826" w:rsidRDefault="00323317" w:rsidP="0032331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23317">
        <w:t>C2: Analyze quantitative data, published writing, or observable phenomena to draw informed conclusions</w:t>
      </w:r>
      <w:r>
        <w:t>.</w:t>
      </w:r>
    </w:p>
    <w:p w14:paraId="3681C802" w14:textId="77777777" w:rsidR="00EB5826" w:rsidRDefault="00EB5826" w:rsidP="00EB5826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C3: Interpret mathematical and/or logical models such as formulas, graphs, tables and schematics, and draw inferences from them; and </w:t>
      </w:r>
    </w:p>
    <w:p w14:paraId="50DCA0B2" w14:textId="38D832BB" w:rsidR="00CA7A06" w:rsidRPr="00EB5826" w:rsidRDefault="00EB5826" w:rsidP="00323317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C4: Integrate new data into their existing knowledge. </w:t>
      </w:r>
    </w:p>
    <w:p w14:paraId="47AC8B40" w14:textId="1AB364AB" w:rsidR="00323317" w:rsidRPr="00323317" w:rsidRDefault="00323317" w:rsidP="00323317">
      <w:pPr>
        <w:rPr>
          <w:b/>
          <w:bCs/>
        </w:rPr>
      </w:pPr>
      <w:r w:rsidRPr="00323317">
        <w:rPr>
          <w:b/>
          <w:bCs/>
        </w:rPr>
        <w:t xml:space="preserve">Describe how the course meets the </w:t>
      </w:r>
      <w:r w:rsidR="00820310">
        <w:rPr>
          <w:b/>
          <w:bCs/>
        </w:rPr>
        <w:t>C2</w:t>
      </w:r>
      <w:r w:rsidRPr="00323317">
        <w:rPr>
          <w:b/>
          <w:bCs/>
        </w:rPr>
        <w:t xml:space="preserve"> outcome (100 words or less).</w:t>
      </w:r>
    </w:p>
    <w:p w14:paraId="59C78A41" w14:textId="0186BFF0" w:rsidR="00323317" w:rsidRDefault="00323317" w:rsidP="00323317">
      <w:pPr>
        <w:ind w:left="720"/>
      </w:pPr>
    </w:p>
    <w:p w14:paraId="297E1455" w14:textId="77777777" w:rsidR="00323317" w:rsidRDefault="00323317" w:rsidP="00323317">
      <w:pPr>
        <w:ind w:left="720"/>
      </w:pPr>
    </w:p>
    <w:p w14:paraId="13D6EB75" w14:textId="0981EDFB" w:rsidR="00323317" w:rsidRPr="00323317" w:rsidRDefault="00323317" w:rsidP="00323317">
      <w:pPr>
        <w:rPr>
          <w:b/>
          <w:bCs/>
        </w:rPr>
      </w:pPr>
      <w:r w:rsidRPr="00323317">
        <w:rPr>
          <w:b/>
          <w:bCs/>
        </w:rPr>
        <w:t xml:space="preserve">Describe how the course meets the </w:t>
      </w:r>
      <w:r w:rsidR="00820310">
        <w:rPr>
          <w:b/>
          <w:bCs/>
        </w:rPr>
        <w:t>C3</w:t>
      </w:r>
      <w:r w:rsidRPr="00323317">
        <w:rPr>
          <w:b/>
          <w:bCs/>
        </w:rPr>
        <w:t xml:space="preserve"> outcome (100 words or less).</w:t>
      </w:r>
    </w:p>
    <w:p w14:paraId="1D4CD2E9" w14:textId="64DED8EB" w:rsidR="00323317" w:rsidRDefault="00323317" w:rsidP="00323317">
      <w:pPr>
        <w:ind w:left="720"/>
      </w:pPr>
    </w:p>
    <w:p w14:paraId="5434A51F" w14:textId="77777777" w:rsidR="00323317" w:rsidRDefault="00323317" w:rsidP="00323317">
      <w:pPr>
        <w:ind w:left="720"/>
      </w:pPr>
    </w:p>
    <w:p w14:paraId="7423F3CF" w14:textId="4F8AFCDE" w:rsidR="00323317" w:rsidRPr="00323317" w:rsidRDefault="00323317" w:rsidP="00323317">
      <w:pPr>
        <w:rPr>
          <w:b/>
          <w:bCs/>
        </w:rPr>
      </w:pPr>
      <w:r w:rsidRPr="00323317">
        <w:rPr>
          <w:b/>
          <w:bCs/>
        </w:rPr>
        <w:t xml:space="preserve">Describe how the course meets </w:t>
      </w:r>
      <w:r w:rsidR="00820310">
        <w:rPr>
          <w:b/>
          <w:bCs/>
        </w:rPr>
        <w:t>the C4 outcome (100 words or less)</w:t>
      </w:r>
      <w:r w:rsidRPr="00323317">
        <w:rPr>
          <w:b/>
          <w:bCs/>
        </w:rPr>
        <w:t>.</w:t>
      </w:r>
    </w:p>
    <w:p w14:paraId="3B0DBA36" w14:textId="02AF6E15" w:rsidR="00CA7A06" w:rsidRDefault="00CA7A06" w:rsidP="00323317">
      <w:pPr>
        <w:ind w:left="720"/>
      </w:pPr>
    </w:p>
    <w:p w14:paraId="1F1ECA9C" w14:textId="712AA8EF" w:rsidR="00323317" w:rsidRDefault="00323317" w:rsidP="00323317">
      <w:pPr>
        <w:ind w:left="720"/>
      </w:pPr>
    </w:p>
    <w:p w14:paraId="0C9FD38F" w14:textId="04730CFF" w:rsidR="00A81822" w:rsidRDefault="00524DBC" w:rsidP="00A81822">
      <w:r>
        <w:lastRenderedPageBreak/>
        <w:t>Outcomes assessment</w:t>
      </w:r>
      <w:r w:rsidR="00A81822">
        <w:t xml:space="preserve"> </w:t>
      </w:r>
      <w:r>
        <w:t>should</w:t>
      </w:r>
      <w:r w:rsidR="00A81822">
        <w:t xml:space="preserve"> occur within one or two exams/assignments.  Please indicate which exams or assignments will be used for each </w:t>
      </w:r>
      <w:r>
        <w:t>outcome</w:t>
      </w:r>
      <w:r w:rsidR="00A81822">
        <w:t>.  Provide assignment prompts if available.</w:t>
      </w:r>
    </w:p>
    <w:p w14:paraId="200B0EDB" w14:textId="77777777" w:rsidR="00A81822" w:rsidRPr="00323317" w:rsidRDefault="00A81822" w:rsidP="00A818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A81822" w14:paraId="1247D4CC" w14:textId="77777777" w:rsidTr="00E03FED">
        <w:tc>
          <w:tcPr>
            <w:tcW w:w="2425" w:type="dxa"/>
          </w:tcPr>
          <w:p w14:paraId="4D996562" w14:textId="77777777" w:rsidR="00A81822" w:rsidRPr="004D5424" w:rsidRDefault="00A81822" w:rsidP="00E03FED">
            <w:pPr>
              <w:pStyle w:val="Heading1"/>
              <w:spacing w:before="0"/>
              <w:rPr>
                <w:sz w:val="26"/>
                <w:szCs w:val="26"/>
              </w:rPr>
            </w:pPr>
            <w:r w:rsidRPr="004D5424">
              <w:rPr>
                <w:sz w:val="26"/>
                <w:szCs w:val="26"/>
              </w:rPr>
              <w:t>Area to Be Assessed</w:t>
            </w:r>
          </w:p>
        </w:tc>
        <w:tc>
          <w:tcPr>
            <w:tcW w:w="6925" w:type="dxa"/>
          </w:tcPr>
          <w:p w14:paraId="10D3393F" w14:textId="77777777" w:rsidR="00A81822" w:rsidRPr="004D5424" w:rsidRDefault="00A81822" w:rsidP="00E03FED">
            <w:pPr>
              <w:pStyle w:val="Heading1"/>
              <w:spacing w:before="0"/>
              <w:rPr>
                <w:sz w:val="26"/>
                <w:szCs w:val="26"/>
              </w:rPr>
            </w:pPr>
            <w:r w:rsidRPr="004D5424">
              <w:rPr>
                <w:sz w:val="26"/>
                <w:szCs w:val="26"/>
              </w:rPr>
              <w:t>Assessment Artifact</w:t>
            </w:r>
          </w:p>
        </w:tc>
      </w:tr>
      <w:tr w:rsidR="00A81822" w14:paraId="791872F1" w14:textId="77777777" w:rsidTr="00E03FED">
        <w:tc>
          <w:tcPr>
            <w:tcW w:w="2425" w:type="dxa"/>
          </w:tcPr>
          <w:p w14:paraId="733DDD30" w14:textId="159396F7" w:rsidR="00A81822" w:rsidRDefault="00A81822" w:rsidP="00E03FED">
            <w:r>
              <w:t xml:space="preserve">Outcome </w:t>
            </w:r>
            <w:r w:rsidR="00820310">
              <w:t>C2</w:t>
            </w:r>
          </w:p>
        </w:tc>
        <w:tc>
          <w:tcPr>
            <w:tcW w:w="6925" w:type="dxa"/>
          </w:tcPr>
          <w:p w14:paraId="275B6AAF" w14:textId="77777777" w:rsidR="00A81822" w:rsidRDefault="00A81822" w:rsidP="00E03FED"/>
        </w:tc>
      </w:tr>
      <w:tr w:rsidR="00A81822" w14:paraId="19A69924" w14:textId="77777777" w:rsidTr="00E03FED">
        <w:tc>
          <w:tcPr>
            <w:tcW w:w="2425" w:type="dxa"/>
          </w:tcPr>
          <w:p w14:paraId="39FE90AC" w14:textId="2D464B6E" w:rsidR="00A81822" w:rsidRDefault="00A81822" w:rsidP="00A81822">
            <w:r>
              <w:t>Outcome C</w:t>
            </w:r>
            <w:r w:rsidR="00820310">
              <w:t>3</w:t>
            </w:r>
          </w:p>
        </w:tc>
        <w:tc>
          <w:tcPr>
            <w:tcW w:w="6925" w:type="dxa"/>
          </w:tcPr>
          <w:p w14:paraId="7600D98B" w14:textId="77777777" w:rsidR="00A81822" w:rsidRDefault="00A81822" w:rsidP="00A81822"/>
        </w:tc>
      </w:tr>
      <w:tr w:rsidR="00A81822" w14:paraId="5136FB11" w14:textId="77777777" w:rsidTr="00E03FED">
        <w:tc>
          <w:tcPr>
            <w:tcW w:w="2425" w:type="dxa"/>
          </w:tcPr>
          <w:p w14:paraId="274DC66F" w14:textId="1D1A46B8" w:rsidR="007F43F3" w:rsidRDefault="00A81822" w:rsidP="00820310">
            <w:r>
              <w:t xml:space="preserve">Outcome </w:t>
            </w:r>
            <w:r w:rsidR="00820310">
              <w:t>C4</w:t>
            </w:r>
          </w:p>
        </w:tc>
        <w:tc>
          <w:tcPr>
            <w:tcW w:w="6925" w:type="dxa"/>
          </w:tcPr>
          <w:p w14:paraId="6DC24752" w14:textId="77777777" w:rsidR="00A81822" w:rsidRDefault="00A81822" w:rsidP="00A81822"/>
        </w:tc>
      </w:tr>
    </w:tbl>
    <w:p w14:paraId="4EED5254" w14:textId="37B3AF62" w:rsidR="001521C6" w:rsidRDefault="001521C6"/>
    <w:p w14:paraId="035C1B78" w14:textId="144E99F4" w:rsidR="00524DBC" w:rsidRDefault="00524DBC">
      <w:r>
        <w:t>Please use the following rubric to perform assessment each year.</w:t>
      </w:r>
    </w:p>
    <w:p w14:paraId="37F6FC49" w14:textId="77777777" w:rsidR="00524DBC" w:rsidRDefault="00524DBC" w:rsidP="00524DBC">
      <w:pPr>
        <w:pStyle w:val="Heading1"/>
      </w:pPr>
      <w:r>
        <w:t xml:space="preserve">Student Learning Outcome C2 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524DBC" w14:paraId="6A747693" w14:textId="77777777" w:rsidTr="00E03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9395AC8" w14:textId="77777777" w:rsidR="00524DBC" w:rsidRDefault="00524DBC" w:rsidP="00E03FED">
            <w: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485C7177" w14:textId="77777777" w:rsidR="00524DBC" w:rsidRPr="006605A9" w:rsidRDefault="00524DBC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D79AEA9" w14:textId="77777777" w:rsidR="00524DBC" w:rsidRPr="005E296D" w:rsidRDefault="00524DBC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602E475C" w14:textId="77777777" w:rsidR="00524DBC" w:rsidRDefault="00524DBC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 of Excellence</w:t>
            </w:r>
          </w:p>
        </w:tc>
      </w:tr>
      <w:tr w:rsidR="00524DBC" w14:paraId="45003FA6" w14:textId="77777777" w:rsidTr="00A54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10F5E3A9" w14:textId="2AAC9677" w:rsidR="00524DBC" w:rsidRPr="000F6C12" w:rsidRDefault="00227E24" w:rsidP="00E03FED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Analyze data to draw conclusions</w:t>
            </w:r>
          </w:p>
        </w:tc>
        <w:tc>
          <w:tcPr>
            <w:tcW w:w="1890" w:type="dxa"/>
            <w:shd w:val="clear" w:color="auto" w:fill="FAF2FF"/>
          </w:tcPr>
          <w:p w14:paraId="442B8058" w14:textId="37A8862A" w:rsidR="00524DBC" w:rsidRPr="000F6C12" w:rsidRDefault="00227E24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Lacks </w:t>
            </w:r>
            <w:r w:rsidR="007F43F3">
              <w:rPr>
                <w:sz w:val="20"/>
                <w:szCs w:val="20"/>
              </w:rPr>
              <w:t xml:space="preserve">sufficient </w:t>
            </w:r>
            <w:r>
              <w:rPr>
                <w:sz w:val="20"/>
                <w:szCs w:val="20"/>
              </w:rPr>
              <w:t>analysis of data or published writing.</w:t>
            </w:r>
          </w:p>
        </w:tc>
        <w:tc>
          <w:tcPr>
            <w:tcW w:w="2340" w:type="dxa"/>
            <w:shd w:val="clear" w:color="auto" w:fill="FAF2FF"/>
          </w:tcPr>
          <w:p w14:paraId="53E7816A" w14:textId="20E8BF12" w:rsidR="00524DBC" w:rsidRPr="000F6C12" w:rsidRDefault="00227E24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Analyzes data and/or published writing in an effective manner.</w:t>
            </w:r>
          </w:p>
        </w:tc>
        <w:tc>
          <w:tcPr>
            <w:tcW w:w="2430" w:type="dxa"/>
            <w:shd w:val="clear" w:color="auto" w:fill="FAF2FF"/>
          </w:tcPr>
          <w:p w14:paraId="735CAA5A" w14:textId="5E77A054" w:rsidR="00524DBC" w:rsidRPr="000F6C12" w:rsidRDefault="00227E24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Analyzes data and/or published writing in an exemplary manner.</w:t>
            </w:r>
          </w:p>
        </w:tc>
      </w:tr>
    </w:tbl>
    <w:p w14:paraId="4DE1EE04" w14:textId="533D35E1" w:rsidR="00524DBC" w:rsidRDefault="00524DBC"/>
    <w:p w14:paraId="7EA91294" w14:textId="262D1538" w:rsidR="00820310" w:rsidRDefault="00820310" w:rsidP="00820310">
      <w:pPr>
        <w:pStyle w:val="Heading1"/>
      </w:pPr>
      <w:r>
        <w:t>Student Learning Outcome C3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820310" w14:paraId="53BDFA15" w14:textId="77777777" w:rsidTr="00E03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373ABB91" w14:textId="77777777" w:rsidR="00820310" w:rsidRPr="000F6C12" w:rsidRDefault="00820310" w:rsidP="00E03FED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633A70A2" w14:textId="77777777" w:rsidR="00820310" w:rsidRPr="000F6C12" w:rsidRDefault="00820310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53FFD137" w14:textId="77777777" w:rsidR="00820310" w:rsidRPr="000F6C12" w:rsidRDefault="00820310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80A0712" w14:textId="77777777" w:rsidR="00820310" w:rsidRPr="000F6C12" w:rsidRDefault="00820310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Points of Excellence</w:t>
            </w:r>
          </w:p>
        </w:tc>
      </w:tr>
      <w:tr w:rsidR="00820310" w14:paraId="6E40A562" w14:textId="77777777" w:rsidTr="00E03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3A2FC87A" w14:textId="6A1F6B13" w:rsidR="00820310" w:rsidRPr="000F6C12" w:rsidRDefault="0003484C" w:rsidP="00E03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 mathematical and/or logical models such as formulas.</w:t>
            </w:r>
          </w:p>
        </w:tc>
        <w:tc>
          <w:tcPr>
            <w:tcW w:w="1890" w:type="dxa"/>
            <w:shd w:val="clear" w:color="auto" w:fill="FAF2FF"/>
          </w:tcPr>
          <w:p w14:paraId="562AC9C9" w14:textId="4EBF4A52" w:rsidR="00820310" w:rsidRPr="000F6C12" w:rsidRDefault="00D61AEB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to no demonstrated ability to interpret relationships and/or data in models.</w:t>
            </w:r>
          </w:p>
        </w:tc>
        <w:tc>
          <w:tcPr>
            <w:tcW w:w="2340" w:type="dxa"/>
            <w:shd w:val="clear" w:color="auto" w:fill="FAF2FF"/>
          </w:tcPr>
          <w:p w14:paraId="428BF937" w14:textId="56FC6744" w:rsidR="00820310" w:rsidRPr="000F6C12" w:rsidRDefault="0003484C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ability to interpret relationships and/or data in models.</w:t>
            </w:r>
          </w:p>
        </w:tc>
        <w:tc>
          <w:tcPr>
            <w:tcW w:w="2430" w:type="dxa"/>
            <w:shd w:val="clear" w:color="auto" w:fill="FAF2FF"/>
          </w:tcPr>
          <w:p w14:paraId="0EE47A9E" w14:textId="7F83062C" w:rsidR="00820310" w:rsidRPr="000F6C12" w:rsidRDefault="00F45DEA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Exceptional ability to interpret relationships and/or data in models.</w:t>
            </w:r>
          </w:p>
        </w:tc>
      </w:tr>
    </w:tbl>
    <w:p w14:paraId="7B83E0C5" w14:textId="4F11E6D6" w:rsidR="00227E24" w:rsidRDefault="00227E24" w:rsidP="00227E24">
      <w:pPr>
        <w:pStyle w:val="Heading1"/>
      </w:pPr>
      <w:r>
        <w:t xml:space="preserve">Student Learning Outcome </w:t>
      </w:r>
      <w:r w:rsidR="00820310">
        <w:t>C4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227E24" w14:paraId="33474A9F" w14:textId="77777777" w:rsidTr="00E03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0D52DDD4" w14:textId="77777777" w:rsidR="00227E24" w:rsidRPr="00AD517C" w:rsidRDefault="00227E24" w:rsidP="00E03FED">
            <w:pPr>
              <w:contextualSpacing/>
              <w:rPr>
                <w:rFonts w:cstheme="minorHAnsi"/>
              </w:rPr>
            </w:pPr>
            <w: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3F14D606" w14:textId="77777777" w:rsidR="00227E24" w:rsidRDefault="00227E24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D636D03" w14:textId="77777777" w:rsidR="00227E24" w:rsidRDefault="00227E24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0A59D4D9" w14:textId="77777777" w:rsidR="00227E24" w:rsidRDefault="00227E24" w:rsidP="00E03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 of Excellence</w:t>
            </w:r>
          </w:p>
        </w:tc>
      </w:tr>
      <w:tr w:rsidR="00227E24" w14:paraId="3796C4BD" w14:textId="77777777" w:rsidTr="00A54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51067BAB" w14:textId="04404FA4" w:rsidR="00227E24" w:rsidRPr="000F6C12" w:rsidRDefault="0003484C" w:rsidP="00E03FED">
            <w:p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Integrate new data into their existing knowledge</w:t>
            </w:r>
          </w:p>
        </w:tc>
        <w:tc>
          <w:tcPr>
            <w:tcW w:w="1890" w:type="dxa"/>
            <w:shd w:val="clear" w:color="auto" w:fill="FAF2FF"/>
          </w:tcPr>
          <w:p w14:paraId="00C33B06" w14:textId="2071F4DF" w:rsidR="00227E24" w:rsidRPr="000F6C12" w:rsidRDefault="00F45DEA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little to no grasp of new information and/or does not demonstrate adequate connection to previous learning.</w:t>
            </w:r>
          </w:p>
        </w:tc>
        <w:tc>
          <w:tcPr>
            <w:tcW w:w="2340" w:type="dxa"/>
            <w:shd w:val="clear" w:color="auto" w:fill="FAF2FF"/>
          </w:tcPr>
          <w:p w14:paraId="5CBBF7DF" w14:textId="21217F52" w:rsidR="00227E24" w:rsidRPr="000F6C12" w:rsidRDefault="00D61AEB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Grasps new information and makes connections to previous learning.</w:t>
            </w:r>
          </w:p>
        </w:tc>
        <w:tc>
          <w:tcPr>
            <w:tcW w:w="2430" w:type="dxa"/>
            <w:shd w:val="clear" w:color="auto" w:fill="FAF2FF"/>
          </w:tcPr>
          <w:p w14:paraId="322103AD" w14:textId="634DFCA6" w:rsidR="00227E24" w:rsidRPr="000F6C12" w:rsidRDefault="00F45DEA" w:rsidP="00E03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Exceptional grasp of new information and/or demonstrates outstanding ability to connect to previous learning.</w:t>
            </w:r>
          </w:p>
        </w:tc>
      </w:tr>
    </w:tbl>
    <w:p w14:paraId="6E48D798" w14:textId="77777777" w:rsidR="00227E24" w:rsidRDefault="00227E24"/>
    <w:p w14:paraId="50A3F038" w14:textId="386F5CD8" w:rsidR="001521C6" w:rsidRPr="00D61AEB" w:rsidRDefault="001521C6" w:rsidP="00D61AEB">
      <w:pPr>
        <w:rPr>
          <w:rFonts w:asciiTheme="majorHAnsi" w:eastAsiaTheme="majorEastAsia" w:hAnsiTheme="majorHAnsi" w:cstheme="majorBidi"/>
          <w:color w:val="43266C"/>
          <w:sz w:val="32"/>
          <w:szCs w:val="32"/>
        </w:rPr>
      </w:pPr>
    </w:p>
    <w:sectPr w:rsidR="001521C6" w:rsidRPr="00D61AE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A0EEB" w14:textId="77777777" w:rsidR="009717CB" w:rsidRDefault="009717CB" w:rsidP="00A81822">
      <w:r>
        <w:separator/>
      </w:r>
    </w:p>
  </w:endnote>
  <w:endnote w:type="continuationSeparator" w:id="0">
    <w:p w14:paraId="2E3F9C0D" w14:textId="77777777" w:rsidR="009717CB" w:rsidRDefault="009717CB" w:rsidP="00A8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5572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D0F14D" w14:textId="4E9B27F3" w:rsidR="00A81822" w:rsidRDefault="00A81822" w:rsidP="005153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F1AEEF" w14:textId="77777777" w:rsidR="00A81822" w:rsidRDefault="00A81822" w:rsidP="00A818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739916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3C670" w14:textId="7A533B60" w:rsidR="00A81822" w:rsidRDefault="00A81822" w:rsidP="005153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9FE0B" w14:textId="46008576" w:rsidR="00A81822" w:rsidRDefault="00A81822" w:rsidP="00A81822">
    <w:pPr>
      <w:pStyle w:val="Footer"/>
      <w:ind w:right="360"/>
    </w:pPr>
    <w:r>
      <w:t>Approved by UGEC on April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F29F0" w14:textId="77777777" w:rsidR="009717CB" w:rsidRDefault="009717CB" w:rsidP="00A81822">
      <w:r>
        <w:separator/>
      </w:r>
    </w:p>
  </w:footnote>
  <w:footnote w:type="continuationSeparator" w:id="0">
    <w:p w14:paraId="2E14FF27" w14:textId="77777777" w:rsidR="009717CB" w:rsidRDefault="009717CB" w:rsidP="00A8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816"/>
    <w:multiLevelType w:val="hybridMultilevel"/>
    <w:tmpl w:val="E35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10B"/>
    <w:multiLevelType w:val="hybridMultilevel"/>
    <w:tmpl w:val="F0EA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1B1"/>
    <w:multiLevelType w:val="hybridMultilevel"/>
    <w:tmpl w:val="9A9C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E6D8E"/>
    <w:multiLevelType w:val="multilevel"/>
    <w:tmpl w:val="5654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6124C"/>
    <w:multiLevelType w:val="hybridMultilevel"/>
    <w:tmpl w:val="1F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23AAB"/>
    <w:multiLevelType w:val="hybridMultilevel"/>
    <w:tmpl w:val="E1A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06"/>
    <w:rsid w:val="0003484C"/>
    <w:rsid w:val="000C4509"/>
    <w:rsid w:val="001521C6"/>
    <w:rsid w:val="00227E24"/>
    <w:rsid w:val="0025060E"/>
    <w:rsid w:val="002E3BEE"/>
    <w:rsid w:val="002E63F3"/>
    <w:rsid w:val="00323317"/>
    <w:rsid w:val="003A0898"/>
    <w:rsid w:val="004C2063"/>
    <w:rsid w:val="00524DBC"/>
    <w:rsid w:val="00527EFC"/>
    <w:rsid w:val="00536BFE"/>
    <w:rsid w:val="005F0EFA"/>
    <w:rsid w:val="00630D20"/>
    <w:rsid w:val="00725A64"/>
    <w:rsid w:val="007B578E"/>
    <w:rsid w:val="007F43F3"/>
    <w:rsid w:val="00820310"/>
    <w:rsid w:val="009717CB"/>
    <w:rsid w:val="00A3208C"/>
    <w:rsid w:val="00A455FE"/>
    <w:rsid w:val="00A549BE"/>
    <w:rsid w:val="00A81822"/>
    <w:rsid w:val="00A968CB"/>
    <w:rsid w:val="00B704F9"/>
    <w:rsid w:val="00CA7A06"/>
    <w:rsid w:val="00CF3AB6"/>
    <w:rsid w:val="00D07FC7"/>
    <w:rsid w:val="00D50924"/>
    <w:rsid w:val="00D61AEB"/>
    <w:rsid w:val="00E2531E"/>
    <w:rsid w:val="00EB23C1"/>
    <w:rsid w:val="00EB5826"/>
    <w:rsid w:val="00F15610"/>
    <w:rsid w:val="00F45DEA"/>
    <w:rsid w:val="00F80043"/>
    <w:rsid w:val="00F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0A57"/>
  <w15:chartTrackingRefBased/>
  <w15:docId w15:val="{3C5F45A1-F471-6E49-81DF-D2780744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A06"/>
  </w:style>
  <w:style w:type="paragraph" w:styleId="Heading1">
    <w:name w:val="heading 1"/>
    <w:basedOn w:val="Normal"/>
    <w:next w:val="Normal"/>
    <w:link w:val="Heading1Char"/>
    <w:uiPriority w:val="9"/>
    <w:qFormat/>
    <w:rsid w:val="00CA7A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3266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266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A06"/>
    <w:rPr>
      <w:rFonts w:asciiTheme="majorHAnsi" w:eastAsiaTheme="majorEastAsia" w:hAnsiTheme="majorHAnsi" w:cstheme="majorBidi"/>
      <w:color w:val="43266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7A06"/>
    <w:rPr>
      <w:rFonts w:asciiTheme="majorHAnsi" w:eastAsiaTheme="majorEastAsia" w:hAnsiTheme="majorHAnsi" w:cstheme="majorBidi"/>
      <w:color w:val="43266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7A06"/>
    <w:pPr>
      <w:contextualSpacing/>
    </w:pPr>
    <w:rPr>
      <w:rFonts w:asciiTheme="majorHAnsi" w:eastAsiaTheme="majorEastAsia" w:hAnsiTheme="majorHAnsi" w:cstheme="majorBidi"/>
      <w:color w:val="43266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A06"/>
    <w:rPr>
      <w:rFonts w:asciiTheme="majorHAnsi" w:eastAsiaTheme="majorEastAsia" w:hAnsiTheme="majorHAnsi" w:cstheme="majorBidi"/>
      <w:color w:val="43266C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A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00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23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0E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822"/>
  </w:style>
  <w:style w:type="paragraph" w:styleId="Footer">
    <w:name w:val="footer"/>
    <w:basedOn w:val="Normal"/>
    <w:link w:val="FooterChar"/>
    <w:uiPriority w:val="99"/>
    <w:unhideWhenUsed/>
    <w:rsid w:val="00A8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822"/>
  </w:style>
  <w:style w:type="character" w:styleId="PageNumber">
    <w:name w:val="page number"/>
    <w:basedOn w:val="DefaultParagraphFont"/>
    <w:uiPriority w:val="99"/>
    <w:semiHidden/>
    <w:unhideWhenUsed/>
    <w:rsid w:val="00A81822"/>
  </w:style>
  <w:style w:type="table" w:styleId="GridTable4-Accent5">
    <w:name w:val="Grid Table 4 Accent 5"/>
    <w:basedOn w:val="TableNormal"/>
    <w:uiPriority w:val="49"/>
    <w:rsid w:val="00524DB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D5388D-B3C9-46DD-89C0-E5DF6CC2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Smith</dc:creator>
  <cp:keywords/>
  <dc:description/>
  <cp:lastModifiedBy>Karen Witemeyer</cp:lastModifiedBy>
  <cp:revision>2</cp:revision>
  <dcterms:created xsi:type="dcterms:W3CDTF">2022-05-12T19:51:00Z</dcterms:created>
  <dcterms:modified xsi:type="dcterms:W3CDTF">2022-05-12T19:51:00Z</dcterms:modified>
</cp:coreProperties>
</file>